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21792" w14:textId="4B603754" w:rsidR="00686EFB" w:rsidRDefault="00686EFB" w:rsidP="00686EFB">
      <w:pPr>
        <w:jc w:val="right"/>
      </w:pPr>
      <w:r>
        <w:t>Appendix 3</w:t>
      </w:r>
    </w:p>
    <w:p w14:paraId="076998EB" w14:textId="423BE1CC" w:rsidR="001A2FB1" w:rsidRDefault="001A2FB1" w:rsidP="00AB327D">
      <w:r>
        <w:t xml:space="preserve">From:  William </w:t>
      </w:r>
      <w:proofErr w:type="gramStart"/>
      <w:r>
        <w:t>Sunnucks</w:t>
      </w:r>
      <w:r w:rsidR="00E210CC">
        <w:t>,  CCC</w:t>
      </w:r>
      <w:proofErr w:type="gramEnd"/>
    </w:p>
    <w:p w14:paraId="56C37699" w14:textId="5C93BB74" w:rsidR="001A2FB1" w:rsidRDefault="001A2FB1" w:rsidP="00AB327D">
      <w:r>
        <w:t>To:</w:t>
      </w:r>
      <w:r>
        <w:tab/>
        <w:t>Rob Smith</w:t>
      </w:r>
      <w:r w:rsidR="00E210CC">
        <w:t>, Hyas</w:t>
      </w:r>
    </w:p>
    <w:p w14:paraId="151FAAE5" w14:textId="14612EB9" w:rsidR="001A2FB1" w:rsidRDefault="001A2FB1" w:rsidP="00AB327D">
      <w:r>
        <w:t>1</w:t>
      </w:r>
      <w:r w:rsidR="005C07E1">
        <w:t>8</w:t>
      </w:r>
      <w:r>
        <w:t>/4/2023</w:t>
      </w:r>
    </w:p>
    <w:p w14:paraId="584B5544" w14:textId="77777777" w:rsidR="001A2FB1" w:rsidRDefault="001A2FB1" w:rsidP="00AB327D"/>
    <w:p w14:paraId="3798BD5C" w14:textId="79A54092" w:rsidR="00881A95" w:rsidRDefault="00AB327D" w:rsidP="00AB327D">
      <w:r>
        <w:t>Dear Rob,</w:t>
      </w:r>
    </w:p>
    <w:p w14:paraId="63FF5DAF" w14:textId="77777777" w:rsidR="00881A95" w:rsidRDefault="00881A95" w:rsidP="00AB327D"/>
    <w:p w14:paraId="36601C9E" w14:textId="529D3C68" w:rsidR="00881A95" w:rsidRPr="004C204C" w:rsidRDefault="00881A95" w:rsidP="00AB327D">
      <w:pPr>
        <w:rPr>
          <w:b/>
          <w:bCs/>
          <w:sz w:val="32"/>
          <w:szCs w:val="32"/>
          <w:u w:val="single"/>
        </w:rPr>
      </w:pPr>
      <w:r w:rsidRPr="004C204C">
        <w:rPr>
          <w:b/>
          <w:bCs/>
          <w:sz w:val="32"/>
          <w:szCs w:val="32"/>
          <w:u w:val="single"/>
        </w:rPr>
        <w:t>TCBGC</w:t>
      </w:r>
      <w:r w:rsidR="004C204C" w:rsidRPr="004C204C">
        <w:rPr>
          <w:b/>
          <w:bCs/>
          <w:sz w:val="32"/>
          <w:szCs w:val="32"/>
          <w:u w:val="single"/>
        </w:rPr>
        <w:t xml:space="preserve"> – Phase 1 Appraisal and further MoU</w:t>
      </w:r>
    </w:p>
    <w:p w14:paraId="302B6765" w14:textId="77777777" w:rsidR="00AB327D" w:rsidRDefault="00AB327D" w:rsidP="00AB327D"/>
    <w:p w14:paraId="4633772A" w14:textId="615B1668" w:rsidR="00137696" w:rsidRDefault="00AB327D" w:rsidP="00AB327D">
      <w:r>
        <w:t xml:space="preserve">I’m </w:t>
      </w:r>
      <w:r w:rsidR="00E71C0E">
        <w:t>happy to provide the clarifications you have requested and to expand on the additional paragraphs in the Colchester resolution</w:t>
      </w:r>
      <w:r w:rsidR="00AD75A3">
        <w:t>.  And</w:t>
      </w:r>
      <w:r w:rsidR="00E71C0E">
        <w:t xml:space="preserve"> </w:t>
      </w:r>
      <w:r w:rsidR="00137696">
        <w:t>I’m pleased that Gerald Eve have been appointed to advise on the negotiation / commercial strategy.  I have had no access to them or any other professional advisers, so I offer my suggestions as a straw man to be considered and burnt when more expert views are available.</w:t>
      </w:r>
      <w:r w:rsidR="0018641D">
        <w:t xml:space="preserve">  </w:t>
      </w:r>
    </w:p>
    <w:p w14:paraId="05FBE13A" w14:textId="77777777" w:rsidR="00410889" w:rsidRDefault="00410889" w:rsidP="00AB327D"/>
    <w:p w14:paraId="22CB6A20" w14:textId="4D255084" w:rsidR="00410889" w:rsidRPr="00844202" w:rsidRDefault="00410889" w:rsidP="00AB327D">
      <w:pPr>
        <w:rPr>
          <w:b/>
          <w:bCs/>
          <w:u w:val="single"/>
        </w:rPr>
      </w:pPr>
      <w:r w:rsidRPr="00844202">
        <w:rPr>
          <w:b/>
          <w:bCs/>
          <w:u w:val="single"/>
        </w:rPr>
        <w:t>Background</w:t>
      </w:r>
    </w:p>
    <w:p w14:paraId="1F698657" w14:textId="45EC12FB" w:rsidR="00410889" w:rsidRDefault="001F53D4" w:rsidP="00AB327D">
      <w:r>
        <w:t>On 23</w:t>
      </w:r>
      <w:r w:rsidRPr="001F53D4">
        <w:rPr>
          <w:vertAlign w:val="superscript"/>
        </w:rPr>
        <w:t>rd</w:t>
      </w:r>
      <w:r>
        <w:t xml:space="preserve"> </w:t>
      </w:r>
      <w:r w:rsidR="00AE276A">
        <w:t>Mar</w:t>
      </w:r>
      <w:r w:rsidR="007A1AF7">
        <w:t>c</w:t>
      </w:r>
      <w:r w:rsidR="00AE276A">
        <w:t>h</w:t>
      </w:r>
      <w:r>
        <w:t xml:space="preserve"> 2023 </w:t>
      </w:r>
      <w:r w:rsidR="00410889">
        <w:t>C</w:t>
      </w:r>
      <w:r>
        <w:t xml:space="preserve">olchester </w:t>
      </w:r>
      <w:r w:rsidR="00410889">
        <w:t>C</w:t>
      </w:r>
      <w:r>
        <w:t xml:space="preserve">ity </w:t>
      </w:r>
      <w:r w:rsidR="00410889">
        <w:t xml:space="preserve">Council approved the </w:t>
      </w:r>
      <w:r>
        <w:t>DPD</w:t>
      </w:r>
      <w:r w:rsidR="00410889">
        <w:t xml:space="preserve"> as drafted, with the addition of two extra paragraphs as follows:</w:t>
      </w:r>
    </w:p>
    <w:p w14:paraId="511803D1" w14:textId="77777777" w:rsidR="00410889" w:rsidRDefault="00410889" w:rsidP="00AB327D"/>
    <w:tbl>
      <w:tblPr>
        <w:tblStyle w:val="TableGrid"/>
        <w:tblW w:w="0" w:type="auto"/>
        <w:tblLook w:val="04A0" w:firstRow="1" w:lastRow="0" w:firstColumn="1" w:lastColumn="0" w:noHBand="0" w:noVBand="1"/>
      </w:tblPr>
      <w:tblGrid>
        <w:gridCol w:w="9010"/>
      </w:tblGrid>
      <w:tr w:rsidR="00410889" w14:paraId="45776254" w14:textId="77777777" w:rsidTr="00410889">
        <w:tc>
          <w:tcPr>
            <w:tcW w:w="9010" w:type="dxa"/>
          </w:tcPr>
          <w:p w14:paraId="7A4E6735" w14:textId="77777777" w:rsidR="00410889" w:rsidRPr="00410889" w:rsidRDefault="00410889" w:rsidP="00410889">
            <w:pPr>
              <w:pStyle w:val="NormalWeb"/>
              <w:rPr>
                <w:rFonts w:asciiTheme="minorHAnsi" w:hAnsiTheme="minorHAnsi" w:cstheme="minorHAnsi"/>
                <w:sz w:val="22"/>
                <w:szCs w:val="22"/>
              </w:rPr>
            </w:pPr>
            <w:r w:rsidRPr="00410889">
              <w:rPr>
                <w:rFonts w:asciiTheme="minorHAnsi" w:hAnsiTheme="minorHAnsi" w:cstheme="minorHAnsi"/>
                <w:sz w:val="22"/>
                <w:szCs w:val="22"/>
              </w:rPr>
              <w:t xml:space="preserve">This Council: </w:t>
            </w:r>
          </w:p>
          <w:p w14:paraId="2CDA6826" w14:textId="2DC87125" w:rsidR="00410889" w:rsidRPr="00410889" w:rsidRDefault="00410889" w:rsidP="00410889">
            <w:pPr>
              <w:pStyle w:val="NormalWeb"/>
              <w:rPr>
                <w:rFonts w:asciiTheme="minorHAnsi" w:hAnsiTheme="minorHAnsi" w:cstheme="minorHAnsi"/>
                <w:sz w:val="22"/>
                <w:szCs w:val="22"/>
              </w:rPr>
            </w:pPr>
            <w:r w:rsidRPr="00410889">
              <w:rPr>
                <w:rFonts w:asciiTheme="minorHAnsi" w:hAnsiTheme="minorHAnsi" w:cstheme="minorHAnsi"/>
                <w:sz w:val="22"/>
                <w:szCs w:val="22"/>
              </w:rPr>
              <w:t xml:space="preserve">(1) will seek to work in collaboration with Tendring District Council and Essex County Council to agree a further Memorandum of Understanding with Latimer in relation to the delivery of infrastructure across the whole development with a focus on phase 1, ideally before the consultation period starts. This is intended to agree an open book appraisal methodology, acknowledge a phase 1 appraisal to be prepared and agree the principles for delivery of all infrastructure. The Council will also request the appointment of an independent consultant to commence initial negotiations in respect of draft heads of terms for any future S106 agreement. </w:t>
            </w:r>
          </w:p>
          <w:p w14:paraId="12403D2B" w14:textId="1A7210C6" w:rsidR="00410889" w:rsidRPr="00410889" w:rsidRDefault="00410889" w:rsidP="00410889">
            <w:pPr>
              <w:pStyle w:val="NormalWeb"/>
              <w:rPr>
                <w:sz w:val="22"/>
                <w:szCs w:val="22"/>
              </w:rPr>
            </w:pPr>
            <w:r w:rsidRPr="00410889">
              <w:rPr>
                <w:rFonts w:asciiTheme="minorHAnsi" w:hAnsiTheme="minorHAnsi" w:cstheme="minorHAnsi"/>
                <w:sz w:val="22"/>
                <w:szCs w:val="22"/>
              </w:rPr>
              <w:t>(2) expresses its strong concerns about the risk of congestion should phase 2 of the A120/A133 Link Road be delayed.</w:t>
            </w:r>
            <w:r w:rsidRPr="00410889">
              <w:rPr>
                <w:rFonts w:ascii="ArialMT" w:hAnsi="ArialMT"/>
                <w:sz w:val="22"/>
                <w:szCs w:val="22"/>
              </w:rPr>
              <w:t xml:space="preserve"> </w:t>
            </w:r>
          </w:p>
        </w:tc>
      </w:tr>
    </w:tbl>
    <w:p w14:paraId="21AFB69A" w14:textId="77777777" w:rsidR="00410889" w:rsidRDefault="00410889" w:rsidP="00AB327D"/>
    <w:p w14:paraId="2B29FF17" w14:textId="57CA2649" w:rsidR="00AB327D" w:rsidRDefault="0018641D" w:rsidP="00AB327D">
      <w:r>
        <w:t xml:space="preserve">This note answers a series of questions </w:t>
      </w:r>
      <w:r w:rsidR="004C204C">
        <w:t>which you have forwarded to me (presumably from Gerald Eve</w:t>
      </w:r>
      <w:proofErr w:type="gramStart"/>
      <w:r w:rsidR="004C204C">
        <w:t>)</w:t>
      </w:r>
      <w:proofErr w:type="gramEnd"/>
      <w:r>
        <w:t xml:space="preserve"> and I hope it will be helpful in explaining the extra work needed.  The subject is complex and easy to misunderstand, so I would welcome questions and </w:t>
      </w:r>
      <w:r w:rsidR="00AE276A">
        <w:t>corrections where I have made mistakes</w:t>
      </w:r>
      <w:r>
        <w:t>.</w:t>
      </w:r>
      <w:r w:rsidR="00CF5387">
        <w:t xml:space="preserve">  Nothing in it need be confidential and I would not be embarrassed if Latimer were to see it.</w:t>
      </w:r>
    </w:p>
    <w:p w14:paraId="497E1E5C" w14:textId="77777777" w:rsidR="0018641D" w:rsidRDefault="0018641D" w:rsidP="00AB327D"/>
    <w:p w14:paraId="1C2709BC" w14:textId="77777777" w:rsidR="0018641D" w:rsidRDefault="0018641D" w:rsidP="00AB327D"/>
    <w:p w14:paraId="2BC499B2" w14:textId="01775910" w:rsidR="0021706D" w:rsidRPr="0021706D" w:rsidRDefault="0021706D" w:rsidP="00AB327D">
      <w:pPr>
        <w:rPr>
          <w:b/>
          <w:bCs/>
          <w:u w:val="single"/>
        </w:rPr>
      </w:pPr>
      <w:r w:rsidRPr="0021706D">
        <w:rPr>
          <w:b/>
          <w:bCs/>
          <w:u w:val="single"/>
        </w:rPr>
        <w:t>What is the amendment seeking to achieve?</w:t>
      </w:r>
    </w:p>
    <w:p w14:paraId="71A23C75" w14:textId="06AA5045" w:rsidR="000303BD" w:rsidRDefault="00AB327D" w:rsidP="00AB327D">
      <w:r>
        <w:t xml:space="preserve">The </w:t>
      </w:r>
      <w:r w:rsidR="00E71C0E">
        <w:t>extra paragraphs are intended</w:t>
      </w:r>
      <w:r>
        <w:t xml:space="preserve"> to </w:t>
      </w:r>
      <w:r w:rsidR="00EB7844">
        <w:t>make</w:t>
      </w:r>
      <w:r>
        <w:t xml:space="preserve"> the Garden Community </w:t>
      </w:r>
      <w:r w:rsidR="00E71C0E">
        <w:t xml:space="preserve">more </w:t>
      </w:r>
      <w:r w:rsidR="00EB7844">
        <w:t xml:space="preserve">deliverable. </w:t>
      </w:r>
      <w:r w:rsidR="00410889">
        <w:t xml:space="preserve"> They were needed because, although the scheme</w:t>
      </w:r>
      <w:r w:rsidR="00EB7844">
        <w:t xml:space="preserve"> </w:t>
      </w:r>
      <w:r w:rsidR="00E71C0E">
        <w:t>has the potential to</w:t>
      </w:r>
      <w:r w:rsidR="00EB7844">
        <w:t xml:space="preserve"> be financially viable</w:t>
      </w:r>
      <w:r w:rsidR="00410889">
        <w:t>,</w:t>
      </w:r>
      <w:r w:rsidR="00EB7844">
        <w:t xml:space="preserve"> </w:t>
      </w:r>
      <w:r w:rsidR="00254DAB">
        <w:t xml:space="preserve">we don’t </w:t>
      </w:r>
      <w:r w:rsidR="000303BD">
        <w:t xml:space="preserve">own the land and </w:t>
      </w:r>
      <w:r w:rsidR="00CB5244">
        <w:t xml:space="preserve">at present </w:t>
      </w:r>
      <w:r w:rsidR="000303BD">
        <w:t>we don’t have any</w:t>
      </w:r>
      <w:r w:rsidR="00AD75A3">
        <w:t xml:space="preserve"> practical</w:t>
      </w:r>
      <w:r w:rsidR="000303BD">
        <w:t xml:space="preserve"> plan</w:t>
      </w:r>
      <w:r w:rsidR="00EB7844">
        <w:t xml:space="preserve"> </w:t>
      </w:r>
      <w:r w:rsidR="000303BD">
        <w:t xml:space="preserve">to </w:t>
      </w:r>
      <w:r w:rsidR="00AD75A3">
        <w:t>capture the uplift</w:t>
      </w:r>
      <w:r w:rsidR="00EB7844">
        <w:t xml:space="preserve">.  </w:t>
      </w:r>
      <w:r w:rsidR="000303BD">
        <w:t>The DPD</w:t>
      </w:r>
      <w:r w:rsidR="00D6734D">
        <w:t xml:space="preserve"> is likely to fail at Inspection unless it is supported by a </w:t>
      </w:r>
      <w:r w:rsidR="00AB43DE">
        <w:t xml:space="preserve">credible </w:t>
      </w:r>
      <w:r w:rsidR="00D6734D">
        <w:t>commercial strategy</w:t>
      </w:r>
      <w:r w:rsidR="000303BD">
        <w:t xml:space="preserve">. </w:t>
      </w:r>
      <w:r w:rsidR="00AB43DE">
        <w:t xml:space="preserve"> </w:t>
      </w:r>
    </w:p>
    <w:p w14:paraId="3CE09ABF" w14:textId="77777777" w:rsidR="000303BD" w:rsidRDefault="000303BD" w:rsidP="00AB327D"/>
    <w:p w14:paraId="08EDFC9A" w14:textId="17FA187D" w:rsidR="00254DAB" w:rsidRDefault="00254DAB" w:rsidP="00254DAB">
      <w:r>
        <w:t>I list below how a phase 1 appraisal will help</w:t>
      </w:r>
      <w:r w:rsidR="00CB5244">
        <w:t xml:space="preserve"> overcome </w:t>
      </w:r>
      <w:r w:rsidR="00F97271">
        <w:t>the current weakness</w:t>
      </w:r>
      <w:r>
        <w:t>:</w:t>
      </w:r>
    </w:p>
    <w:p w14:paraId="7459C350" w14:textId="71D80862" w:rsidR="00D6734D" w:rsidRDefault="00254DAB" w:rsidP="00254DAB">
      <w:pPr>
        <w:pStyle w:val="ListParagraph"/>
        <w:numPr>
          <w:ilvl w:val="0"/>
          <w:numId w:val="7"/>
        </w:numPr>
      </w:pPr>
      <w:r>
        <w:lastRenderedPageBreak/>
        <w:t>The current approach</w:t>
      </w:r>
      <w:r w:rsidR="00AB43DE">
        <w:t xml:space="preserve"> postpones</w:t>
      </w:r>
      <w:r w:rsidR="00970428">
        <w:t xml:space="preserve"> </w:t>
      </w:r>
      <w:r w:rsidR="00CB5244">
        <w:t xml:space="preserve">serious </w:t>
      </w:r>
      <w:r w:rsidR="00970428">
        <w:t>discussion of</w:t>
      </w:r>
      <w:r w:rsidR="00AB43DE">
        <w:t xml:space="preserve"> land value capture until the planning application stage</w:t>
      </w:r>
      <w:r w:rsidR="000303BD">
        <w:t xml:space="preserve">.  </w:t>
      </w:r>
      <w:r>
        <w:t xml:space="preserve">A phase 1 appraisal will </w:t>
      </w:r>
      <w:r w:rsidR="00CB5244">
        <w:t>start to address it</w:t>
      </w:r>
      <w:r w:rsidR="000303BD">
        <w:t xml:space="preserve"> </w:t>
      </w:r>
      <w:r>
        <w:t>at</w:t>
      </w:r>
      <w:r w:rsidR="000303BD">
        <w:t xml:space="preserve"> the DPD stage</w:t>
      </w:r>
      <w:r>
        <w:t xml:space="preserve"> when our commercial position is stronger.</w:t>
      </w:r>
    </w:p>
    <w:p w14:paraId="1456F826" w14:textId="61CE519F" w:rsidR="00AB43DE" w:rsidRDefault="00F5110A" w:rsidP="00254DAB">
      <w:pPr>
        <w:pStyle w:val="ListParagraph"/>
        <w:numPr>
          <w:ilvl w:val="0"/>
          <w:numId w:val="7"/>
        </w:numPr>
      </w:pPr>
      <w:r>
        <w:t>The current approach appears to</w:t>
      </w:r>
      <w:r w:rsidR="00AB43DE">
        <w:t xml:space="preserve"> envisage one big </w:t>
      </w:r>
      <w:r w:rsidR="00254DAB">
        <w:t xml:space="preserve">planning </w:t>
      </w:r>
      <w:r w:rsidR="00AB43DE">
        <w:t xml:space="preserve">application for 7500-9000 </w:t>
      </w:r>
      <w:r w:rsidR="00137696">
        <w:t>dwellings over 35 years</w:t>
      </w:r>
      <w:r w:rsidR="000303BD">
        <w:t xml:space="preserve">.  </w:t>
      </w:r>
      <w:r w:rsidR="00CB5244">
        <w:t>A phase 1 appraisal points to</w:t>
      </w:r>
      <w:r w:rsidR="000303BD">
        <w:t xml:space="preserve"> </w:t>
      </w:r>
      <w:r w:rsidR="00254DAB">
        <w:t xml:space="preserve">multiple </w:t>
      </w:r>
      <w:r w:rsidR="0021706D">
        <w:t>phases which are more in line</w:t>
      </w:r>
      <w:r>
        <w:t xml:space="preserve"> with </w:t>
      </w:r>
      <w:r w:rsidR="00970428">
        <w:t>Local Plan time</w:t>
      </w:r>
      <w:r w:rsidR="0021706D">
        <w:t>scales</w:t>
      </w:r>
      <w:r w:rsidR="00F97271">
        <w:t>, each with its own planning application and s106 agreement.</w:t>
      </w:r>
    </w:p>
    <w:p w14:paraId="52272256" w14:textId="76AF3B49" w:rsidR="00AB43DE" w:rsidRDefault="00AB43DE" w:rsidP="00254DAB">
      <w:pPr>
        <w:pStyle w:val="ListParagraph"/>
        <w:numPr>
          <w:ilvl w:val="0"/>
          <w:numId w:val="7"/>
        </w:numPr>
      </w:pPr>
      <w:r>
        <w:t xml:space="preserve">The counterparty, Latimer </w:t>
      </w:r>
      <w:r w:rsidR="00AD75A3">
        <w:t>Developments</w:t>
      </w:r>
      <w:r w:rsidR="00CB5244">
        <w:t xml:space="preserve"> Limited</w:t>
      </w:r>
      <w:r>
        <w:t>, has net assets of just £53m</w:t>
      </w:r>
      <w:r w:rsidR="00970428">
        <w:t xml:space="preserve">.  </w:t>
      </w:r>
      <w:r w:rsidR="00CB5244">
        <w:t>The</w:t>
      </w:r>
      <w:r w:rsidR="00970428">
        <w:t xml:space="preserve"> total cash </w:t>
      </w:r>
      <w:r w:rsidR="00F97271">
        <w:t>commitment</w:t>
      </w:r>
      <w:r w:rsidR="00970428">
        <w:t xml:space="preserve"> for </w:t>
      </w:r>
      <w:r w:rsidR="00F97271">
        <w:t xml:space="preserve">external </w:t>
      </w:r>
      <w:r w:rsidR="00970428">
        <w:t>infrastructure</w:t>
      </w:r>
      <w:r w:rsidR="0021706D">
        <w:t xml:space="preserve"> will be</w:t>
      </w:r>
      <w:r w:rsidR="00970428">
        <w:t xml:space="preserve"> £300m </w:t>
      </w:r>
      <w:r w:rsidR="00E71C0E">
        <w:t>or more</w:t>
      </w:r>
      <w:r w:rsidR="00F97271">
        <w:t xml:space="preserve"> under the current approach</w:t>
      </w:r>
      <w:r w:rsidR="00970428">
        <w:t xml:space="preserve">, many times </w:t>
      </w:r>
      <w:r w:rsidR="0021706D">
        <w:t>more</w:t>
      </w:r>
      <w:r w:rsidR="00CB5244">
        <w:t xml:space="preserve"> than can reasonably be promised by Latimer alone</w:t>
      </w:r>
      <w:r w:rsidR="00254DAB">
        <w:t xml:space="preserve">.  The Councils will need to see further equity and a </w:t>
      </w:r>
      <w:r w:rsidR="00F14BBA">
        <w:t xml:space="preserve">Clarion </w:t>
      </w:r>
      <w:r w:rsidR="00254DAB">
        <w:t>guarantee which may be challenging given the risky nature of the property development business.</w:t>
      </w:r>
      <w:r w:rsidR="000303BD">
        <w:t xml:space="preserve">  A</w:t>
      </w:r>
      <w:r w:rsidR="00F97271">
        <w:t xml:space="preserve">n initial </w:t>
      </w:r>
      <w:r w:rsidR="000303BD">
        <w:t xml:space="preserve">phase 1 </w:t>
      </w:r>
      <w:r w:rsidR="00F97271">
        <w:t xml:space="preserve">approach </w:t>
      </w:r>
      <w:r w:rsidR="000303BD">
        <w:t>will</w:t>
      </w:r>
      <w:r w:rsidR="00970428">
        <w:t xml:space="preserve"> </w:t>
      </w:r>
      <w:r w:rsidR="00CB5244">
        <w:t xml:space="preserve">reduce credit risk and </w:t>
      </w:r>
      <w:r w:rsidR="00970428">
        <w:t>be in the interests of both parties</w:t>
      </w:r>
      <w:r w:rsidR="00F97271">
        <w:t xml:space="preserve">:  the </w:t>
      </w:r>
      <w:r w:rsidR="000303BD">
        <w:t>Councils</w:t>
      </w:r>
      <w:r w:rsidR="00F97271">
        <w:t xml:space="preserve"> will be</w:t>
      </w:r>
      <w:r w:rsidR="000303BD">
        <w:t xml:space="preserve"> in a stronger position </w:t>
      </w:r>
      <w:r w:rsidR="00254DAB">
        <w:t>to negotiate</w:t>
      </w:r>
      <w:r w:rsidR="000303BD">
        <w:t xml:space="preserve"> future phases</w:t>
      </w:r>
      <w:r w:rsidR="00F97271">
        <w:t xml:space="preserve"> and retain financial control: and it will reduce the capital demands on Latimer.</w:t>
      </w:r>
    </w:p>
    <w:p w14:paraId="59F3007A" w14:textId="2B1DC626" w:rsidR="00AB43DE" w:rsidRDefault="00AB43DE" w:rsidP="00254DAB">
      <w:pPr>
        <w:pStyle w:val="ListParagraph"/>
        <w:numPr>
          <w:ilvl w:val="0"/>
          <w:numId w:val="7"/>
        </w:numPr>
      </w:pPr>
      <w:r>
        <w:t xml:space="preserve">Both the quantum of </w:t>
      </w:r>
      <w:r w:rsidR="006C576F">
        <w:t>a mega</w:t>
      </w:r>
      <w:r>
        <w:t xml:space="preserve"> </w:t>
      </w:r>
      <w:r w:rsidR="000303BD">
        <w:t>s106 agreement</w:t>
      </w:r>
      <w:r>
        <w:t xml:space="preserve"> and its duration </w:t>
      </w:r>
      <w:r w:rsidR="006C576F">
        <w:t>would be</w:t>
      </w:r>
      <w:r>
        <w:t xml:space="preserve"> </w:t>
      </w:r>
      <w:r w:rsidR="000303BD">
        <w:t>outside the normal range</w:t>
      </w:r>
      <w:r w:rsidR="00F97271">
        <w:t xml:space="preserve"> under the current approach</w:t>
      </w:r>
      <w:r w:rsidR="000303BD">
        <w:t>.</w:t>
      </w:r>
      <w:r w:rsidR="00970428">
        <w:t xml:space="preserve"> </w:t>
      </w:r>
      <w:r w:rsidR="00F14BBA">
        <w:t>It will be</w:t>
      </w:r>
      <w:r w:rsidR="006C576F">
        <w:t xml:space="preserve"> a</w:t>
      </w:r>
      <w:r w:rsidR="000303BD">
        <w:t xml:space="preserve"> </w:t>
      </w:r>
      <w:proofErr w:type="gramStart"/>
      <w:r w:rsidR="000303BD">
        <w:t>35 year</w:t>
      </w:r>
      <w:proofErr w:type="gramEnd"/>
      <w:r w:rsidR="006C576F">
        <w:t xml:space="preserve"> project in which </w:t>
      </w:r>
      <w:r w:rsidR="00254DAB">
        <w:t>the developer will have overwhelming commercial leverage</w:t>
      </w:r>
      <w:r w:rsidR="006C576F">
        <w:t xml:space="preserve"> because it controls the land.</w:t>
      </w:r>
    </w:p>
    <w:p w14:paraId="6A81A5B6" w14:textId="23BBEBDE" w:rsidR="00970428" w:rsidRDefault="00CF5387" w:rsidP="003936BB">
      <w:pPr>
        <w:pStyle w:val="ListParagraph"/>
        <w:numPr>
          <w:ilvl w:val="0"/>
          <w:numId w:val="7"/>
        </w:numPr>
      </w:pPr>
      <w:r>
        <w:t xml:space="preserve">A phase 1 appraisal will be technically more robust.  </w:t>
      </w:r>
      <w:r w:rsidR="00F5110A">
        <w:t xml:space="preserve">The </w:t>
      </w:r>
      <w:r w:rsidR="00110B5B">
        <w:t xml:space="preserve">Argus Developer </w:t>
      </w:r>
      <w:r w:rsidR="00F5110A">
        <w:t xml:space="preserve">appraisal software used </w:t>
      </w:r>
      <w:r w:rsidR="00330E74">
        <w:t>by Gerald Eve</w:t>
      </w:r>
      <w:r w:rsidR="00F5110A">
        <w:t xml:space="preserve"> is (in my view) inappropriate for a </w:t>
      </w:r>
      <w:proofErr w:type="gramStart"/>
      <w:r w:rsidR="00F5110A">
        <w:t>35 year</w:t>
      </w:r>
      <w:proofErr w:type="gramEnd"/>
      <w:r w:rsidR="00F5110A">
        <w:t xml:space="preserve"> project.  </w:t>
      </w:r>
      <w:r w:rsidR="00110B5B">
        <w:t>Implicit</w:t>
      </w:r>
      <w:r w:rsidR="00F5110A">
        <w:t xml:space="preserve"> in the software </w:t>
      </w:r>
      <w:r w:rsidR="00970428">
        <w:t>is an</w:t>
      </w:r>
      <w:r w:rsidR="00F5110A">
        <w:t xml:space="preserve"> assumption</w:t>
      </w:r>
      <w:r w:rsidR="001F023B">
        <w:rPr>
          <w:rStyle w:val="FootnoteReference"/>
        </w:rPr>
        <w:footnoteReference w:id="1"/>
      </w:r>
      <w:r w:rsidR="001F023B">
        <w:t xml:space="preserve"> </w:t>
      </w:r>
      <w:r w:rsidR="00F5110A">
        <w:t xml:space="preserve"> that generate</w:t>
      </w:r>
      <w:r w:rsidR="00970428">
        <w:t>s</w:t>
      </w:r>
      <w:r w:rsidR="00F5110A">
        <w:t xml:space="preserve"> interest charges which are £</w:t>
      </w:r>
      <w:r w:rsidR="00BE7663">
        <w:t>37</w:t>
      </w:r>
      <w:r w:rsidR="00F5110A">
        <w:t>m</w:t>
      </w:r>
      <w:r w:rsidR="00BE7663">
        <w:rPr>
          <w:rStyle w:val="FootnoteReference"/>
        </w:rPr>
        <w:footnoteReference w:id="2"/>
      </w:r>
      <w:r w:rsidR="00F5110A">
        <w:t xml:space="preserve"> lower than the Hyas equivalent</w:t>
      </w:r>
      <w:r w:rsidR="00AD75A3">
        <w:t xml:space="preserve">. It will be difficult to defend this approach if it is </w:t>
      </w:r>
      <w:r w:rsidR="00AE276A">
        <w:t>challenged</w:t>
      </w:r>
      <w:r w:rsidR="00AD75A3">
        <w:t xml:space="preserve"> by the developer during the s106 negotiation</w:t>
      </w:r>
      <w:r w:rsidR="00330E74">
        <w:t xml:space="preserve">.  The best remedy is </w:t>
      </w:r>
      <w:proofErr w:type="spellStart"/>
      <w:r w:rsidR="00330E74">
        <w:t>i</w:t>
      </w:r>
      <w:proofErr w:type="spellEnd"/>
      <w:r w:rsidR="00330E74">
        <w:t xml:space="preserve">) to use IRR as the key metric rather than profit on cost and ii) to work with a </w:t>
      </w:r>
      <w:proofErr w:type="gramStart"/>
      <w:r w:rsidR="00330E74">
        <w:t>10 year</w:t>
      </w:r>
      <w:proofErr w:type="gramEnd"/>
      <w:r w:rsidR="00330E74">
        <w:t xml:space="preserve"> model where the problem is less prominent.</w:t>
      </w:r>
    </w:p>
    <w:p w14:paraId="52FA7C7D" w14:textId="77777777" w:rsidR="00CF5387" w:rsidRDefault="00CF5387" w:rsidP="00CF5387">
      <w:pPr>
        <w:pStyle w:val="ListParagraph"/>
        <w:ind w:left="360"/>
      </w:pPr>
    </w:p>
    <w:p w14:paraId="5D423510" w14:textId="02F06035" w:rsidR="00AB327D" w:rsidRPr="00881A95" w:rsidRDefault="0021706D" w:rsidP="0021706D">
      <w:pPr>
        <w:rPr>
          <w:b/>
          <w:bCs/>
          <w:u w:val="single"/>
        </w:rPr>
      </w:pPr>
      <w:r w:rsidRPr="00881A95">
        <w:rPr>
          <w:b/>
          <w:bCs/>
          <w:u w:val="single"/>
        </w:rPr>
        <w:t>Key principles for the s106 negotiation</w:t>
      </w:r>
    </w:p>
    <w:p w14:paraId="66935781" w14:textId="2523CCF1" w:rsidR="0021706D" w:rsidRDefault="0021706D" w:rsidP="0021706D">
      <w:r>
        <w:t xml:space="preserve">For harmonious relationships and commercial </w:t>
      </w:r>
      <w:proofErr w:type="gramStart"/>
      <w:r>
        <w:t>credibility</w:t>
      </w:r>
      <w:proofErr w:type="gramEnd"/>
      <w:r>
        <w:t xml:space="preserve"> it would be helpful for both parties to agree the following key principles for the s106 negotiation now:</w:t>
      </w:r>
    </w:p>
    <w:p w14:paraId="0DF810C7" w14:textId="54A082F8" w:rsidR="0021706D" w:rsidRDefault="0021706D" w:rsidP="0021706D">
      <w:pPr>
        <w:pStyle w:val="ListParagraph"/>
        <w:numPr>
          <w:ilvl w:val="0"/>
          <w:numId w:val="8"/>
        </w:numPr>
      </w:pPr>
      <w:r>
        <w:t>Open book appraisals</w:t>
      </w:r>
      <w:r w:rsidR="00110B5B">
        <w:t xml:space="preserve"> </w:t>
      </w:r>
      <w:r w:rsidR="008C41D8">
        <w:t xml:space="preserve">to be prepared </w:t>
      </w:r>
      <w:r w:rsidR="00FC0922">
        <w:t>in line with the Viability PPG</w:t>
      </w:r>
    </w:p>
    <w:p w14:paraId="734F8B5D" w14:textId="06771D94" w:rsidR="00FA5F83" w:rsidRDefault="00FA5F83" w:rsidP="0021706D">
      <w:pPr>
        <w:pStyle w:val="ListParagraph"/>
        <w:numPr>
          <w:ilvl w:val="0"/>
          <w:numId w:val="8"/>
        </w:numPr>
      </w:pPr>
      <w:r>
        <w:t xml:space="preserve">Agreement on </w:t>
      </w:r>
      <w:r w:rsidR="00AE276A">
        <w:t>the phasing of</w:t>
      </w:r>
      <w:r>
        <w:t xml:space="preserve"> planning applications.  I understand that one big application </w:t>
      </w:r>
      <w:r w:rsidR="00AE276A">
        <w:t>contemplated,</w:t>
      </w:r>
      <w:r>
        <w:t xml:space="preserve"> presumably supported by one </w:t>
      </w:r>
      <w:r w:rsidR="00AE276A">
        <w:t>mega</w:t>
      </w:r>
      <w:r>
        <w:t xml:space="preserve"> s106 agreement.  I have looked at such a document for the Garden Community at </w:t>
      </w:r>
      <w:proofErr w:type="spellStart"/>
      <w:r>
        <w:t>Welborne</w:t>
      </w:r>
      <w:proofErr w:type="spellEnd"/>
      <w:r>
        <w:t xml:space="preserve"> and it is complex.  It would be </w:t>
      </w:r>
      <w:r w:rsidR="00AE276A">
        <w:t xml:space="preserve">quicker, </w:t>
      </w:r>
      <w:proofErr w:type="gramStart"/>
      <w:r>
        <w:t>simpler</w:t>
      </w:r>
      <w:proofErr w:type="gramEnd"/>
      <w:r w:rsidR="00AE276A">
        <w:t xml:space="preserve"> and cheaper (in terms of legal fees)</w:t>
      </w:r>
      <w:r>
        <w:t xml:space="preserve"> to have a separate application for each phase, supported by </w:t>
      </w:r>
      <w:r w:rsidR="00C97D61">
        <w:t xml:space="preserve">a </w:t>
      </w:r>
      <w:r>
        <w:t>separate s10</w:t>
      </w:r>
      <w:r w:rsidR="00AE276A">
        <w:t>6, within the overall masterplan framework.</w:t>
      </w:r>
    </w:p>
    <w:p w14:paraId="732855CA" w14:textId="6577F05E" w:rsidR="008C41D8" w:rsidRDefault="008B6F4F" w:rsidP="0021706D">
      <w:pPr>
        <w:pStyle w:val="ListParagraph"/>
        <w:numPr>
          <w:ilvl w:val="0"/>
          <w:numId w:val="8"/>
        </w:numPr>
      </w:pPr>
      <w:r>
        <w:t>Provision for periodic reviews</w:t>
      </w:r>
      <w:r w:rsidR="008C41D8">
        <w:t xml:space="preserve"> to ensure that a share of any excess profits (quite possible if inflation continues and cash doesn’t run out) is </w:t>
      </w:r>
      <w:r w:rsidR="00134B32">
        <w:t xml:space="preserve">collected by the Council </w:t>
      </w:r>
      <w:r w:rsidR="00F14BBA">
        <w:t>to be invested in</w:t>
      </w:r>
      <w:r w:rsidR="00134B32">
        <w:t xml:space="preserve"> further connected</w:t>
      </w:r>
      <w:r w:rsidR="008C41D8">
        <w:t xml:space="preserve"> </w:t>
      </w:r>
      <w:proofErr w:type="gramStart"/>
      <w:r w:rsidR="008C41D8">
        <w:t>infrastructure</w:t>
      </w:r>
      <w:proofErr w:type="gramEnd"/>
    </w:p>
    <w:p w14:paraId="08CF88FE" w14:textId="09F5DAA1" w:rsidR="0021706D" w:rsidRDefault="00FC0922" w:rsidP="0021706D">
      <w:pPr>
        <w:pStyle w:val="ListParagraph"/>
        <w:numPr>
          <w:ilvl w:val="0"/>
          <w:numId w:val="8"/>
        </w:numPr>
      </w:pPr>
      <w:r>
        <w:t>Whether to have a two-tier appraisal approach</w:t>
      </w:r>
      <w:r w:rsidR="00F14BBA">
        <w:t xml:space="preserve"> for controlling the project</w:t>
      </w:r>
      <w:r>
        <w:t xml:space="preserve"> – the Gerald Eve appraisal assumes a master developer</w:t>
      </w:r>
      <w:r w:rsidR="008C41D8">
        <w:t xml:space="preserve"> (one tier)</w:t>
      </w:r>
      <w:r>
        <w:t xml:space="preserve"> who sells plots to </w:t>
      </w:r>
      <w:r>
        <w:lastRenderedPageBreak/>
        <w:t>housebuilders</w:t>
      </w:r>
      <w:r w:rsidR="008C41D8">
        <w:t xml:space="preserve"> (a second tier)</w:t>
      </w:r>
      <w:r>
        <w:t xml:space="preserve">.  In practice Latimer is hoping to </w:t>
      </w:r>
      <w:r w:rsidR="008C41D8">
        <w:t>build</w:t>
      </w:r>
      <w:r>
        <w:t xml:space="preserve"> 2/3rds of the housing itself, </w:t>
      </w:r>
      <w:r w:rsidR="00134B32">
        <w:t>so a</w:t>
      </w:r>
      <w:r w:rsidR="00AE276A">
        <w:t>n agreed</w:t>
      </w:r>
      <w:r w:rsidR="00134B32">
        <w:t xml:space="preserve"> hybrid</w:t>
      </w:r>
      <w:r w:rsidR="009A266E">
        <w:t xml:space="preserve"> appraisal</w:t>
      </w:r>
      <w:r w:rsidR="00134B32">
        <w:t xml:space="preserve"> approach may be </w:t>
      </w:r>
      <w:r w:rsidR="008B6F4F">
        <w:t>more appropriate</w:t>
      </w:r>
      <w:r w:rsidR="00134B32">
        <w:t>.</w:t>
      </w:r>
    </w:p>
    <w:p w14:paraId="664B74E6" w14:textId="6EEFE190" w:rsidR="00FC0922" w:rsidRDefault="00FC0922" w:rsidP="0021706D">
      <w:pPr>
        <w:pStyle w:val="ListParagraph"/>
        <w:numPr>
          <w:ilvl w:val="0"/>
          <w:numId w:val="8"/>
        </w:numPr>
      </w:pPr>
      <w:r>
        <w:t>What land value assumptions to use</w:t>
      </w:r>
      <w:r w:rsidR="008C41D8">
        <w:t xml:space="preserve"> in the appraisals</w:t>
      </w:r>
      <w:r>
        <w:t>.  Under the Viability PPG the actual amount paid for the</w:t>
      </w:r>
      <w:r w:rsidR="00110B5B">
        <w:t xml:space="preserve"> land</w:t>
      </w:r>
      <w:r>
        <w:t xml:space="preserve"> is irrelevant: </w:t>
      </w:r>
      <w:r w:rsidR="009A266E">
        <w:t xml:space="preserve">Latimer </w:t>
      </w:r>
      <w:r w:rsidR="00F14BBA">
        <w:t>needs to</w:t>
      </w:r>
      <w:r w:rsidR="009A266E">
        <w:t xml:space="preserve"> acknowledge that </w:t>
      </w:r>
      <w:r w:rsidR="00E210CC">
        <w:t>the appraisal</w:t>
      </w:r>
      <w:r w:rsidR="009A266E">
        <w:t xml:space="preserve"> will</w:t>
      </w:r>
      <w:r>
        <w:t xml:space="preserve"> use </w:t>
      </w:r>
      <w:r w:rsidR="009A266E">
        <w:t xml:space="preserve">no more than </w:t>
      </w:r>
      <w:r>
        <w:t>£50-100,000 per acre</w:t>
      </w:r>
      <w:r w:rsidR="00643DC8">
        <w:t xml:space="preserve">, </w:t>
      </w:r>
      <w:r>
        <w:t xml:space="preserve">paid </w:t>
      </w:r>
      <w:r w:rsidR="00643DC8">
        <w:t xml:space="preserve">over the project </w:t>
      </w:r>
      <w:proofErr w:type="gramStart"/>
      <w:r w:rsidR="00643DC8">
        <w:t xml:space="preserve">period </w:t>
      </w:r>
      <w:r>
        <w:t xml:space="preserve"> –</w:t>
      </w:r>
      <w:proofErr w:type="gramEnd"/>
      <w:r>
        <w:t xml:space="preserve"> it makes a huge difference if the land must be purchased on day 1.</w:t>
      </w:r>
    </w:p>
    <w:p w14:paraId="1B9F05F9" w14:textId="0C0607FC" w:rsidR="00134B32" w:rsidRDefault="00134B32" w:rsidP="0021706D">
      <w:pPr>
        <w:pStyle w:val="ListParagraph"/>
        <w:numPr>
          <w:ilvl w:val="0"/>
          <w:numId w:val="8"/>
        </w:numPr>
      </w:pPr>
      <w:r>
        <w:t xml:space="preserve">Agreement of the </w:t>
      </w:r>
      <w:r w:rsidR="00E210CC">
        <w:t xml:space="preserve">other </w:t>
      </w:r>
      <w:r>
        <w:t xml:space="preserve">assumptions behind the phase 1 appraisal </w:t>
      </w:r>
    </w:p>
    <w:p w14:paraId="010FF068" w14:textId="1AE58217" w:rsidR="00F14BBA" w:rsidRDefault="00F14BBA" w:rsidP="0021706D">
      <w:pPr>
        <w:pStyle w:val="ListParagraph"/>
        <w:numPr>
          <w:ilvl w:val="0"/>
          <w:numId w:val="8"/>
        </w:numPr>
      </w:pPr>
      <w:r>
        <w:t>Agreement o</w:t>
      </w:r>
      <w:r w:rsidR="005C07E1">
        <w:t>n</w:t>
      </w:r>
      <w:r>
        <w:t xml:space="preserve"> </w:t>
      </w:r>
      <w:r w:rsidR="00AE276A">
        <w:t>the principles behind the</w:t>
      </w:r>
      <w:r>
        <w:t xml:space="preserve"> infrastructure delivery plan.  </w:t>
      </w:r>
    </w:p>
    <w:p w14:paraId="57D5DBF6" w14:textId="229091DC" w:rsidR="00AB327D" w:rsidRDefault="00134B32" w:rsidP="00423AE2">
      <w:pPr>
        <w:pStyle w:val="ListParagraph"/>
        <w:numPr>
          <w:ilvl w:val="0"/>
          <w:numId w:val="8"/>
        </w:numPr>
      </w:pPr>
      <w:r>
        <w:t>Agreement o</w:t>
      </w:r>
      <w:r w:rsidR="005C07E1">
        <w:t>n</w:t>
      </w:r>
      <w:r>
        <w:t xml:space="preserve"> the key metrics to be used to determine viability.  I </w:t>
      </w:r>
      <w:r w:rsidR="00F14BBA">
        <w:t>would argue</w:t>
      </w:r>
      <w:r>
        <w:t xml:space="preserve"> that pre-interest, pre-tax IRR works </w:t>
      </w:r>
      <w:r w:rsidR="009A266E">
        <w:t>best</w:t>
      </w:r>
      <w:r>
        <w:t>, and that the target range should be 10-1</w:t>
      </w:r>
      <w:r w:rsidR="005F6C78">
        <w:t>4</w:t>
      </w:r>
      <w:r>
        <w:t xml:space="preserve">% as </w:t>
      </w:r>
      <w:r w:rsidR="00E210CC">
        <w:t>suggested</w:t>
      </w:r>
      <w:r>
        <w:t xml:space="preserve"> by Gerald Eve.  </w:t>
      </w:r>
    </w:p>
    <w:p w14:paraId="6DD546E4" w14:textId="77777777" w:rsidR="005607A5" w:rsidRDefault="005607A5" w:rsidP="008E42A7"/>
    <w:p w14:paraId="5A1F32DF" w14:textId="77777777" w:rsidR="005607A5" w:rsidRPr="00A23608" w:rsidRDefault="005607A5" w:rsidP="008E42A7">
      <w:pPr>
        <w:rPr>
          <w:b/>
          <w:bCs/>
          <w:u w:val="single"/>
        </w:rPr>
      </w:pPr>
      <w:r w:rsidRPr="00A23608">
        <w:rPr>
          <w:b/>
          <w:bCs/>
          <w:u w:val="single"/>
        </w:rPr>
        <w:t xml:space="preserve">Professional support: </w:t>
      </w:r>
    </w:p>
    <w:p w14:paraId="344FE0B2" w14:textId="47D446E8" w:rsidR="008E42A7" w:rsidRDefault="005607A5" w:rsidP="008E42A7">
      <w:r>
        <w:t>I</w:t>
      </w:r>
      <w:r w:rsidR="008E42A7">
        <w:t xml:space="preserve">t is vital that the Councils have independent </w:t>
      </w:r>
      <w:r w:rsidR="00330E74">
        <w:t xml:space="preserve">written </w:t>
      </w:r>
      <w:r w:rsidR="008E42A7">
        <w:t>advice</w:t>
      </w:r>
      <w:r>
        <w:t xml:space="preserve"> on the issues above</w:t>
      </w:r>
      <w:r w:rsidR="008E42A7">
        <w:t xml:space="preserve"> from someone </w:t>
      </w:r>
      <w:r>
        <w:t>experienced</w:t>
      </w:r>
      <w:r w:rsidR="00A23608">
        <w:t xml:space="preserve"> in s106</w:t>
      </w:r>
      <w:r>
        <w:t xml:space="preserve"> </w:t>
      </w:r>
      <w:r w:rsidR="008E42A7">
        <w:t>who understands both the economics and the legal framework</w:t>
      </w:r>
      <w:r>
        <w:t xml:space="preserve">. </w:t>
      </w:r>
      <w:r w:rsidR="008E42A7">
        <w:t xml:space="preserve">I hope that Gerald Eve will be able to provide that </w:t>
      </w:r>
      <w:r>
        <w:t xml:space="preserve">strategic commercial advice – something </w:t>
      </w:r>
      <w:proofErr w:type="gramStart"/>
      <w:r>
        <w:t>similar to</w:t>
      </w:r>
      <w:proofErr w:type="gramEnd"/>
      <w:r>
        <w:t xml:space="preserve"> the PWC report on the NEGC project</w:t>
      </w:r>
      <w:r w:rsidR="00330E74">
        <w:t>.</w:t>
      </w:r>
    </w:p>
    <w:p w14:paraId="7EB95416" w14:textId="77777777" w:rsidR="008E42A7" w:rsidRDefault="008E42A7" w:rsidP="008E42A7"/>
    <w:p w14:paraId="1FF849E1" w14:textId="6D30994B" w:rsidR="008E42A7" w:rsidRDefault="008E42A7" w:rsidP="008E42A7">
      <w:r>
        <w:t xml:space="preserve">If there is to be just one </w:t>
      </w:r>
      <w:r w:rsidR="005607A5">
        <w:t xml:space="preserve">huge </w:t>
      </w:r>
      <w:r>
        <w:t xml:space="preserve">section 106 agreement for the </w:t>
      </w:r>
      <w:proofErr w:type="gramStart"/>
      <w:r>
        <w:t>35 year</w:t>
      </w:r>
      <w:proofErr w:type="gramEnd"/>
      <w:r>
        <w:t xml:space="preserve"> project a top legal team should be engaged and a substantial budget set aside for the fees.  Hundreds of millions are at stake </w:t>
      </w:r>
      <w:r w:rsidR="005607A5">
        <w:t>so it would be well worth planning the legal strategy in advance.  It would be wrong to try to shoe</w:t>
      </w:r>
      <w:r w:rsidR="00A23608">
        <w:t>-</w:t>
      </w:r>
      <w:r w:rsidR="005607A5">
        <w:t xml:space="preserve">horn the legal budget into </w:t>
      </w:r>
      <w:r w:rsidR="00A23608">
        <w:t>any</w:t>
      </w:r>
      <w:r w:rsidR="005607A5">
        <w:t xml:space="preserve"> contribution offered by the developer</w:t>
      </w:r>
      <w:r w:rsidR="00A23608">
        <w:t xml:space="preserve"> and I repeat that it would</w:t>
      </w:r>
      <w:r w:rsidR="005607A5">
        <w:t xml:space="preserve"> be cheaper and safer to negotiate </w:t>
      </w:r>
      <w:proofErr w:type="gramStart"/>
      <w:r w:rsidR="005607A5">
        <w:t>10 year</w:t>
      </w:r>
      <w:proofErr w:type="gramEnd"/>
      <w:r w:rsidR="005607A5">
        <w:t xml:space="preserve"> agreements.</w:t>
      </w:r>
    </w:p>
    <w:p w14:paraId="55D343B7" w14:textId="77777777" w:rsidR="005607A5" w:rsidRDefault="005607A5" w:rsidP="008E42A7"/>
    <w:p w14:paraId="51115013" w14:textId="0D0A674C" w:rsidR="005607A5" w:rsidRDefault="005607A5" w:rsidP="00A23608">
      <w:r>
        <w:t>Consideration should also be given to governance surrounding the negotiation</w:t>
      </w:r>
      <w:r w:rsidR="005C07E1">
        <w:t>s</w:t>
      </w:r>
      <w:r>
        <w:t xml:space="preserve">.  Councillors </w:t>
      </w:r>
      <w:r w:rsidR="009864B3">
        <w:t>can</w:t>
      </w:r>
      <w:r>
        <w:t xml:space="preserve">not be directly involved, but they bear responsibility for the outcomes and should </w:t>
      </w:r>
      <w:r w:rsidR="00A23608">
        <w:t xml:space="preserve">have access to advice and </w:t>
      </w:r>
      <w:r>
        <w:t>be allowed to contribute indirectly.  It may be that a subcommittee of those with financial or legal experience is needed.</w:t>
      </w:r>
    </w:p>
    <w:p w14:paraId="63BFBB62" w14:textId="77777777" w:rsidR="005607A5" w:rsidRDefault="005607A5" w:rsidP="00F14BBA">
      <w:pPr>
        <w:pStyle w:val="ListParagraph"/>
      </w:pPr>
    </w:p>
    <w:p w14:paraId="5F7E3242" w14:textId="06A5E5F5" w:rsidR="008C41D8" w:rsidRPr="00881A95" w:rsidRDefault="008C41D8" w:rsidP="008C41D8">
      <w:pPr>
        <w:ind w:left="360" w:hanging="360"/>
        <w:rPr>
          <w:b/>
          <w:bCs/>
          <w:u w:val="single"/>
        </w:rPr>
      </w:pPr>
      <w:r w:rsidRPr="00881A95">
        <w:rPr>
          <w:b/>
          <w:bCs/>
          <w:u w:val="single"/>
        </w:rPr>
        <w:t>The timing of S106 negotiations</w:t>
      </w:r>
    </w:p>
    <w:p w14:paraId="5EAD9487" w14:textId="5F24FA1A" w:rsidR="008C41D8" w:rsidRDefault="00C0456D" w:rsidP="00C0456D">
      <w:r>
        <w:t xml:space="preserve">It should be possible to </w:t>
      </w:r>
      <w:r w:rsidR="009A266E">
        <w:t>include</w:t>
      </w:r>
      <w:r>
        <w:t xml:space="preserve"> </w:t>
      </w:r>
      <w:r w:rsidR="00134B32">
        <w:t>the points above</w:t>
      </w:r>
      <w:r w:rsidR="009A266E">
        <w:t xml:space="preserve"> in a non-legally binding Memorandum of Understanding</w:t>
      </w:r>
      <w:r w:rsidR="00134B32">
        <w:t xml:space="preserve"> </w:t>
      </w:r>
      <w:r>
        <w:t xml:space="preserve">before the reg 19 consultation starts.  </w:t>
      </w:r>
    </w:p>
    <w:p w14:paraId="2B384C33" w14:textId="77777777" w:rsidR="00C0456D" w:rsidRDefault="00C0456D" w:rsidP="00C0456D"/>
    <w:p w14:paraId="61D92BF1" w14:textId="1B51099B" w:rsidR="00C908BF" w:rsidRDefault="00C0456D" w:rsidP="00C0456D">
      <w:r>
        <w:t xml:space="preserve">We should also prepare a phase 1 appraisal </w:t>
      </w:r>
      <w:r w:rsidR="00C908BF">
        <w:t>before the consultation starts</w:t>
      </w:r>
      <w:r w:rsidR="00F14BBA">
        <w:t xml:space="preserve"> so the public can see </w:t>
      </w:r>
      <w:r w:rsidR="00C908BF">
        <w:t xml:space="preserve">what compromises </w:t>
      </w:r>
      <w:r w:rsidR="00F14BBA">
        <w:t>are</w:t>
      </w:r>
      <w:r w:rsidR="00C908BF">
        <w:t xml:space="preserve"> needed – see below.  </w:t>
      </w:r>
    </w:p>
    <w:p w14:paraId="622ED43D" w14:textId="77777777" w:rsidR="00D76AE6" w:rsidRDefault="00D76AE6" w:rsidP="00C0456D"/>
    <w:p w14:paraId="0F02FDC4" w14:textId="3030994C" w:rsidR="00D76AE6" w:rsidRDefault="0062199E" w:rsidP="00C0456D">
      <w:r>
        <w:t>I</w:t>
      </w:r>
      <w:r w:rsidR="005C07E1">
        <w:t>n due course I</w:t>
      </w:r>
      <w:r>
        <w:t xml:space="preserve"> would expect t</w:t>
      </w:r>
      <w:r w:rsidR="009A266E">
        <w:t>he</w:t>
      </w:r>
      <w:r w:rsidR="00D76AE6">
        <w:t xml:space="preserve"> MoU to be developed into a draft s106 agreement to </w:t>
      </w:r>
      <w:r w:rsidR="00AE276A">
        <w:t>support</w:t>
      </w:r>
      <w:r w:rsidR="00D76AE6">
        <w:t xml:space="preserve"> the phase 1 planning application.</w:t>
      </w:r>
      <w:r>
        <w:t xml:space="preserve">  The s106 for a </w:t>
      </w:r>
      <w:proofErr w:type="gramStart"/>
      <w:r>
        <w:t>10 year</w:t>
      </w:r>
      <w:proofErr w:type="gramEnd"/>
      <w:r>
        <w:t xml:space="preserve"> project will be an altogether more straightforward document than one for 35 years.</w:t>
      </w:r>
    </w:p>
    <w:p w14:paraId="48B2E5AD" w14:textId="77777777" w:rsidR="00C908BF" w:rsidRDefault="00C908BF" w:rsidP="00C0456D"/>
    <w:p w14:paraId="3AC65C84" w14:textId="61696B88" w:rsidR="00C908BF" w:rsidRDefault="00D76AE6" w:rsidP="00C0456D">
      <w:r>
        <w:t>There</w:t>
      </w:r>
      <w:r w:rsidR="00C908BF">
        <w:t xml:space="preserve"> may be a desire for secrecy and gamesmanship </w:t>
      </w:r>
      <w:r>
        <w:t xml:space="preserve">in </w:t>
      </w:r>
      <w:r w:rsidR="00C908BF">
        <w:t xml:space="preserve">the negotiation.  </w:t>
      </w:r>
      <w:proofErr w:type="gramStart"/>
      <w:r w:rsidR="00C908BF">
        <w:t>However</w:t>
      </w:r>
      <w:proofErr w:type="gramEnd"/>
      <w:r w:rsidR="00C908BF">
        <w:t xml:space="preserve"> I doubt that such cleverness will succeed, and an open book approach is </w:t>
      </w:r>
      <w:r w:rsidR="00134B32">
        <w:t>(</w:t>
      </w:r>
      <w:proofErr w:type="spellStart"/>
      <w:r w:rsidR="00134B32">
        <w:t>i</w:t>
      </w:r>
      <w:proofErr w:type="spellEnd"/>
      <w:r w:rsidR="00134B32">
        <w:t xml:space="preserve">) </w:t>
      </w:r>
      <w:r w:rsidR="00C908BF">
        <w:t xml:space="preserve">healthy, </w:t>
      </w:r>
      <w:r w:rsidR="00134B32">
        <w:t xml:space="preserve">(ii) </w:t>
      </w:r>
      <w:r w:rsidR="00C908BF">
        <w:t xml:space="preserve">convincing for an Inspector and </w:t>
      </w:r>
      <w:r w:rsidR="00134B32">
        <w:t xml:space="preserve">(iii) </w:t>
      </w:r>
      <w:r w:rsidR="00C908BF">
        <w:t xml:space="preserve">sets an example </w:t>
      </w:r>
      <w:r>
        <w:t>for</w:t>
      </w:r>
      <w:r w:rsidR="00C908BF">
        <w:t xml:space="preserve"> the developer.</w:t>
      </w:r>
    </w:p>
    <w:p w14:paraId="0AABA92E" w14:textId="77777777" w:rsidR="00134B32" w:rsidRDefault="00134B32" w:rsidP="00C0456D"/>
    <w:p w14:paraId="106288AD" w14:textId="7F4E123E" w:rsidR="00134B32" w:rsidRDefault="00134B32" w:rsidP="00C0456D">
      <w:r>
        <w:t>None of this should be unacceptable to the developer</w:t>
      </w:r>
      <w:r w:rsidR="007278CD">
        <w:t xml:space="preserve"> - in their shoes I would see it as a </w:t>
      </w:r>
      <w:r w:rsidR="008B6F4F">
        <w:t>net</w:t>
      </w:r>
      <w:r w:rsidR="007278CD">
        <w:t xml:space="preserve"> benefit.  The total </w:t>
      </w:r>
      <w:r w:rsidR="00301E00">
        <w:t>project</w:t>
      </w:r>
      <w:r w:rsidR="007278CD">
        <w:t xml:space="preserve"> will be undiminished, but the capital commitments will be </w:t>
      </w:r>
      <w:r w:rsidR="0062199E">
        <w:t xml:space="preserve">reduced </w:t>
      </w:r>
      <w:r w:rsidR="007278CD">
        <w:t>and the reg 19 consultation will provide useful feedback on infrastructure priorities.</w:t>
      </w:r>
    </w:p>
    <w:p w14:paraId="50B7326D" w14:textId="77777777" w:rsidR="00C0456D" w:rsidRDefault="00C0456D" w:rsidP="00C0456D"/>
    <w:p w14:paraId="4A727829" w14:textId="1A0CEAC8" w:rsidR="00D76AE6" w:rsidRPr="00844202" w:rsidRDefault="00D76AE6" w:rsidP="00C0456D">
      <w:pPr>
        <w:rPr>
          <w:b/>
          <w:bCs/>
          <w:u w:val="single"/>
        </w:rPr>
      </w:pPr>
      <w:r w:rsidRPr="00844202">
        <w:rPr>
          <w:b/>
          <w:bCs/>
          <w:u w:val="single"/>
        </w:rPr>
        <w:t>Scope and wording of the MoU</w:t>
      </w:r>
    </w:p>
    <w:p w14:paraId="5730C26B" w14:textId="1791EBCF" w:rsidR="00110B5B" w:rsidRDefault="00110B5B" w:rsidP="00C0456D">
      <w:r>
        <w:t xml:space="preserve">The MoU would </w:t>
      </w:r>
    </w:p>
    <w:p w14:paraId="74F21944" w14:textId="6BAD0B9F" w:rsidR="00110B5B" w:rsidRDefault="00301E00" w:rsidP="00110B5B">
      <w:pPr>
        <w:pStyle w:val="ListParagraph"/>
        <w:numPr>
          <w:ilvl w:val="0"/>
          <w:numId w:val="10"/>
        </w:numPr>
      </w:pPr>
      <w:r>
        <w:t>Agree the s106 principles laid out</w:t>
      </w:r>
      <w:r w:rsidR="007278CD">
        <w:t xml:space="preserve"> </w:t>
      </w:r>
      <w:proofErr w:type="gramStart"/>
      <w:r w:rsidR="007278CD">
        <w:t>above</w:t>
      </w:r>
      <w:proofErr w:type="gramEnd"/>
    </w:p>
    <w:p w14:paraId="5F54DA0D" w14:textId="46F07406" w:rsidR="00110B5B" w:rsidRDefault="00110B5B" w:rsidP="00110B5B">
      <w:pPr>
        <w:pStyle w:val="ListParagraph"/>
        <w:numPr>
          <w:ilvl w:val="0"/>
          <w:numId w:val="10"/>
        </w:numPr>
      </w:pPr>
      <w:r>
        <w:t xml:space="preserve">Agree to adhere to the </w:t>
      </w:r>
      <w:r w:rsidR="00643DC8">
        <w:t>Inspector’s advice</w:t>
      </w:r>
      <w:r>
        <w:t xml:space="preserve"> on appraisal </w:t>
      </w:r>
      <w:proofErr w:type="gramStart"/>
      <w:r>
        <w:t>metho</w:t>
      </w:r>
      <w:r w:rsidR="00301E00">
        <w:t>d</w:t>
      </w:r>
      <w:r>
        <w:t>ology</w:t>
      </w:r>
      <w:proofErr w:type="gramEnd"/>
    </w:p>
    <w:p w14:paraId="7033299B" w14:textId="454A0582" w:rsidR="00110B5B" w:rsidRDefault="008B6F4F" w:rsidP="000D5A65">
      <w:pPr>
        <w:pStyle w:val="ListParagraph"/>
        <w:numPr>
          <w:ilvl w:val="0"/>
          <w:numId w:val="10"/>
        </w:numPr>
      </w:pPr>
      <w:r>
        <w:t>Comment on</w:t>
      </w:r>
      <w:r w:rsidR="007278CD">
        <w:t xml:space="preserve"> the status of both the </w:t>
      </w:r>
      <w:r w:rsidR="00110B5B">
        <w:t>35 year and phase 1 appraisal</w:t>
      </w:r>
      <w:r w:rsidR="00643DC8">
        <w:t>s</w:t>
      </w:r>
      <w:r w:rsidR="00110B5B">
        <w:t xml:space="preserve"> </w:t>
      </w:r>
    </w:p>
    <w:p w14:paraId="0A076E2E" w14:textId="0952D63A" w:rsidR="008B6F4F" w:rsidRDefault="008B6F4F" w:rsidP="008B6F4F">
      <w:r>
        <w:t>We cannot expect Latimer to agree specific numbers at this stage, but agreement of the principles will be helpful to all parties going forward</w:t>
      </w:r>
      <w:r w:rsidR="00301E00">
        <w:t xml:space="preserve"> and convincing at the Inspection.</w:t>
      </w:r>
    </w:p>
    <w:p w14:paraId="3ACA88D2" w14:textId="77777777" w:rsidR="00C0456D" w:rsidRDefault="00C0456D" w:rsidP="00C0456D"/>
    <w:p w14:paraId="232C2E08" w14:textId="77777777" w:rsidR="008E42A7" w:rsidRDefault="008E42A7" w:rsidP="00D76AE6">
      <w:pPr>
        <w:ind w:left="360" w:hanging="360"/>
        <w:rPr>
          <w:b/>
          <w:bCs/>
        </w:rPr>
      </w:pPr>
    </w:p>
    <w:p w14:paraId="4A8F5424" w14:textId="0E09A5D9" w:rsidR="008C41D8" w:rsidRPr="00844202" w:rsidRDefault="00D76AE6" w:rsidP="00D76AE6">
      <w:pPr>
        <w:ind w:left="360" w:hanging="360"/>
        <w:rPr>
          <w:b/>
          <w:bCs/>
          <w:u w:val="single"/>
        </w:rPr>
      </w:pPr>
      <w:r w:rsidRPr="00844202">
        <w:rPr>
          <w:b/>
          <w:bCs/>
          <w:u w:val="single"/>
        </w:rPr>
        <w:t>Phase 1 viability modelling</w:t>
      </w:r>
    </w:p>
    <w:p w14:paraId="6EACEDD2" w14:textId="2FF2DDA8" w:rsidR="007A1AF7" w:rsidRDefault="00185D4A" w:rsidP="004662B0">
      <w:r w:rsidRPr="00185D4A">
        <w:rPr>
          <w:u w:val="single"/>
        </w:rPr>
        <w:t>Definition of phase 1:</w:t>
      </w:r>
      <w:r>
        <w:t xml:space="preserve">  </w:t>
      </w:r>
      <w:r w:rsidR="007A1AF7">
        <w:t xml:space="preserve">more work is needed to </w:t>
      </w:r>
      <w:r w:rsidR="00D37906">
        <w:t>align</w:t>
      </w:r>
      <w:r w:rsidR="007A1AF7">
        <w:t xml:space="preserve"> the </w:t>
      </w:r>
      <w:r w:rsidR="009864B3">
        <w:t>IDPF</w:t>
      </w:r>
      <w:r w:rsidR="007A1AF7">
        <w:t xml:space="preserve"> and the Gerald Eve </w:t>
      </w:r>
      <w:r w:rsidR="008E42A7">
        <w:t>phasing</w:t>
      </w:r>
      <w:r w:rsidR="00D37906">
        <w:rPr>
          <w:rStyle w:val="FootnoteReference"/>
        </w:rPr>
        <w:footnoteReference w:id="3"/>
      </w:r>
      <w:r w:rsidR="007A1AF7">
        <w:t xml:space="preserve">, and to define a consistent phase 1.  </w:t>
      </w:r>
    </w:p>
    <w:p w14:paraId="48E1B265" w14:textId="77777777" w:rsidR="00301E00" w:rsidRDefault="00301E00" w:rsidP="004662B0"/>
    <w:p w14:paraId="414A387C" w14:textId="644BA17B" w:rsidR="00301E00" w:rsidRDefault="00301E00" w:rsidP="004662B0">
      <w:r>
        <w:t xml:space="preserve">For the purposes of this </w:t>
      </w:r>
      <w:proofErr w:type="gramStart"/>
      <w:r>
        <w:t>exercise</w:t>
      </w:r>
      <w:proofErr w:type="gramEnd"/>
      <w:r>
        <w:t xml:space="preserve"> I ignore the </w:t>
      </w:r>
      <w:r w:rsidR="009864B3">
        <w:t>IDPF</w:t>
      </w:r>
      <w:r>
        <w:t xml:space="preserve"> </w:t>
      </w:r>
      <w:r w:rsidR="007A1AF7">
        <w:t>phasing, and use the columns in the Gerald Eve appraisal instead.  This is arithmetically convenient and</w:t>
      </w:r>
      <w:r w:rsidR="004C204C">
        <w:t xml:space="preserve"> is adequate to illustrate the principles. </w:t>
      </w:r>
      <w:r w:rsidR="007A1AF7">
        <w:t xml:space="preserve"> .  </w:t>
      </w:r>
    </w:p>
    <w:p w14:paraId="03080816" w14:textId="77777777" w:rsidR="00301E00" w:rsidRDefault="00301E00" w:rsidP="004662B0"/>
    <w:p w14:paraId="18158BBA" w14:textId="792C3860" w:rsidR="00301E00" w:rsidRDefault="00301E00" w:rsidP="004662B0">
      <w:r>
        <w:rPr>
          <w:b/>
          <w:bCs/>
          <w:noProof/>
        </w:rPr>
        <w:drawing>
          <wp:inline distT="0" distB="0" distL="0" distR="0" wp14:anchorId="307BB3D0" wp14:editId="4DC41BB7">
            <wp:extent cx="5727700" cy="2113280"/>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27700" cy="2113280"/>
                    </a:xfrm>
                    <a:prstGeom prst="rect">
                      <a:avLst/>
                    </a:prstGeom>
                  </pic:spPr>
                </pic:pic>
              </a:graphicData>
            </a:graphic>
          </wp:inline>
        </w:drawing>
      </w:r>
    </w:p>
    <w:p w14:paraId="65FBCC97" w14:textId="77777777" w:rsidR="00301E00" w:rsidRDefault="00301E00" w:rsidP="004662B0"/>
    <w:p w14:paraId="46949CA7" w14:textId="77777777" w:rsidR="003A7AFD" w:rsidRDefault="003A7AFD" w:rsidP="004662B0"/>
    <w:p w14:paraId="79D8A6E2" w14:textId="2F89A63D" w:rsidR="00DE04F1" w:rsidRDefault="0062199E" w:rsidP="00E11B44">
      <w:r>
        <w:t>I assum</w:t>
      </w:r>
      <w:r w:rsidR="005C64B4">
        <w:t>e</w:t>
      </w:r>
      <w:r>
        <w:t xml:space="preserve"> a phase 1 cut</w:t>
      </w:r>
      <w:r w:rsidR="00AD5B08">
        <w:t>-</w:t>
      </w:r>
      <w:r>
        <w:t>off</w:t>
      </w:r>
      <w:r w:rsidR="00185D4A">
        <w:t xml:space="preserve"> </w:t>
      </w:r>
      <w:r w:rsidR="007278CD">
        <w:t>in 2032</w:t>
      </w:r>
      <w:r w:rsidR="00185D4A">
        <w:t xml:space="preserve"> after the delivery of 1900 housing plots</w:t>
      </w:r>
      <w:r w:rsidR="00E4718B">
        <w:t>.  T</w:t>
      </w:r>
      <w:r w:rsidR="007278CD">
        <w:t xml:space="preserve">he cash deficit is </w:t>
      </w:r>
      <w:r w:rsidR="00E4718B">
        <w:t xml:space="preserve">then </w:t>
      </w:r>
      <w:r w:rsidR="007278CD">
        <w:t>at a minimum</w:t>
      </w:r>
      <w:r w:rsidR="00185D4A">
        <w:t xml:space="preserve"> then and it coincides broadly with the end of the Section 1 plan period</w:t>
      </w:r>
      <w:r w:rsidR="007278CD">
        <w:t xml:space="preserve">.  </w:t>
      </w:r>
    </w:p>
    <w:p w14:paraId="6888E83D" w14:textId="702D77A1" w:rsidR="000C401D" w:rsidRDefault="000C401D" w:rsidP="009A266E">
      <w:pPr>
        <w:ind w:left="720"/>
      </w:pPr>
      <w:r>
        <w:rPr>
          <w:noProof/>
        </w:rPr>
        <w:lastRenderedPageBreak/>
        <w:drawing>
          <wp:inline distT="0" distB="0" distL="0" distR="0" wp14:anchorId="1B534E0E" wp14:editId="65E63E95">
            <wp:extent cx="3662761" cy="2320290"/>
            <wp:effectExtent l="0" t="0" r="0" b="381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66210" cy="2322475"/>
                    </a:xfrm>
                    <a:prstGeom prst="rect">
                      <a:avLst/>
                    </a:prstGeom>
                  </pic:spPr>
                </pic:pic>
              </a:graphicData>
            </a:graphic>
          </wp:inline>
        </w:drawing>
      </w:r>
    </w:p>
    <w:p w14:paraId="0AC9553A" w14:textId="77777777" w:rsidR="00185D4A" w:rsidRDefault="00185D4A" w:rsidP="00E11B44"/>
    <w:p w14:paraId="6AC89E33" w14:textId="37EF6ABC" w:rsidR="000C401D" w:rsidRDefault="000C401D" w:rsidP="00E11B44">
      <w:r>
        <w:rPr>
          <w:u w:val="single"/>
        </w:rPr>
        <w:t>Viability</w:t>
      </w:r>
      <w:r w:rsidR="00185D4A" w:rsidRPr="00185D4A">
        <w:rPr>
          <w:u w:val="single"/>
        </w:rPr>
        <w:t xml:space="preserve"> of phase 1:</w:t>
      </w:r>
      <w:r w:rsidR="00185D4A">
        <w:t xml:space="preserve">  </w:t>
      </w:r>
      <w:r w:rsidR="00E4718B">
        <w:t xml:space="preserve">a phase 1 appraisal </w:t>
      </w:r>
      <w:r w:rsidR="0062199E">
        <w:t>which simply deletes</w:t>
      </w:r>
      <w:r w:rsidR="00185D4A">
        <w:t xml:space="preserve"> all columns after 2032 </w:t>
      </w:r>
      <w:r w:rsidR="00592706">
        <w:t xml:space="preserve">produces </w:t>
      </w:r>
      <w:r w:rsidR="00185D4A">
        <w:t>an IRR of just 1.64%</w:t>
      </w:r>
      <w:r w:rsidR="00BE72B7">
        <w:t>.  But some</w:t>
      </w:r>
      <w:r w:rsidR="0062199E">
        <w:t xml:space="preserve"> expenditure in </w:t>
      </w:r>
      <w:r w:rsidR="004C204C">
        <w:t>2030-33</w:t>
      </w:r>
      <w:r w:rsidR="00E4718B">
        <w:t xml:space="preserve"> clear</w:t>
      </w:r>
      <w:r w:rsidR="00592706">
        <w:t>ly</w:t>
      </w:r>
      <w:r w:rsidR="00E4718B">
        <w:t xml:space="preserve"> relates to phase 2</w:t>
      </w:r>
      <w:r w:rsidR="0062199E">
        <w:t>, and adjusting for that increases</w:t>
      </w:r>
      <w:r w:rsidR="00FF645D">
        <w:t xml:space="preserve"> the </w:t>
      </w:r>
      <w:r w:rsidR="004C204C">
        <w:t xml:space="preserve">phase 1 </w:t>
      </w:r>
      <w:r w:rsidR="00FF645D">
        <w:t>IRR to 5.74%:</w:t>
      </w:r>
    </w:p>
    <w:tbl>
      <w:tblPr>
        <w:tblW w:w="6113" w:type="dxa"/>
        <w:tblInd w:w="612" w:type="dxa"/>
        <w:tblLook w:val="04A0" w:firstRow="1" w:lastRow="0" w:firstColumn="1" w:lastColumn="0" w:noHBand="0" w:noVBand="1"/>
      </w:tblPr>
      <w:tblGrid>
        <w:gridCol w:w="6113"/>
      </w:tblGrid>
      <w:tr w:rsidR="00FF645D" w:rsidRPr="00FF645D" w14:paraId="5229ADF5" w14:textId="77777777" w:rsidTr="00E4718B">
        <w:trPr>
          <w:trHeight w:val="271"/>
        </w:trPr>
        <w:tc>
          <w:tcPr>
            <w:tcW w:w="6113" w:type="dxa"/>
            <w:tcBorders>
              <w:top w:val="nil"/>
              <w:left w:val="nil"/>
              <w:bottom w:val="nil"/>
              <w:right w:val="nil"/>
            </w:tcBorders>
            <w:shd w:val="clear" w:color="auto" w:fill="auto"/>
            <w:noWrap/>
            <w:vAlign w:val="bottom"/>
            <w:hideMark/>
          </w:tcPr>
          <w:p w14:paraId="00943E61" w14:textId="66E47A88" w:rsidR="00FF645D" w:rsidRPr="00FF645D" w:rsidRDefault="00FF645D" w:rsidP="00FF645D">
            <w:pPr>
              <w:rPr>
                <w:rFonts w:ascii="Tahoma" w:eastAsia="Times New Roman" w:hAnsi="Tahoma" w:cs="Tahoma"/>
                <w:kern w:val="0"/>
                <w:sz w:val="20"/>
                <w:szCs w:val="20"/>
                <w:lang w:eastAsia="en-GB"/>
                <w14:ligatures w14:val="none"/>
              </w:rPr>
            </w:pPr>
            <w:r w:rsidRPr="00FF645D">
              <w:rPr>
                <w:rFonts w:ascii="Tahoma" w:eastAsia="Times New Roman" w:hAnsi="Tahoma" w:cs="Tahoma"/>
                <w:kern w:val="0"/>
                <w:sz w:val="20"/>
                <w:szCs w:val="20"/>
                <w:lang w:eastAsia="en-GB"/>
                <w14:ligatures w14:val="none"/>
              </w:rPr>
              <w:t>Allocate 2032 land purchase to phase 2</w:t>
            </w:r>
            <w:r w:rsidR="00E4718B">
              <w:rPr>
                <w:rFonts w:ascii="Tahoma" w:eastAsia="Times New Roman" w:hAnsi="Tahoma" w:cs="Tahoma"/>
                <w:kern w:val="0"/>
                <w:sz w:val="20"/>
                <w:szCs w:val="20"/>
                <w:lang w:eastAsia="en-GB"/>
                <w14:ligatures w14:val="none"/>
              </w:rPr>
              <w:t xml:space="preserve"> £3.5m</w:t>
            </w:r>
          </w:p>
        </w:tc>
      </w:tr>
      <w:tr w:rsidR="00FF645D" w:rsidRPr="00FF645D" w14:paraId="34B8014F" w14:textId="77777777" w:rsidTr="00E4718B">
        <w:trPr>
          <w:trHeight w:val="271"/>
        </w:trPr>
        <w:tc>
          <w:tcPr>
            <w:tcW w:w="6113" w:type="dxa"/>
            <w:tcBorders>
              <w:top w:val="nil"/>
              <w:left w:val="nil"/>
              <w:bottom w:val="nil"/>
              <w:right w:val="nil"/>
            </w:tcBorders>
            <w:shd w:val="clear" w:color="auto" w:fill="auto"/>
            <w:noWrap/>
            <w:vAlign w:val="bottom"/>
            <w:hideMark/>
          </w:tcPr>
          <w:p w14:paraId="24037BFB" w14:textId="5D9DF360" w:rsidR="00FF645D" w:rsidRPr="00FF645D" w:rsidRDefault="00FF645D" w:rsidP="00FF645D">
            <w:pPr>
              <w:rPr>
                <w:rFonts w:ascii="Tahoma" w:eastAsia="Times New Roman" w:hAnsi="Tahoma" w:cs="Tahoma"/>
                <w:kern w:val="0"/>
                <w:sz w:val="20"/>
                <w:szCs w:val="20"/>
                <w:lang w:eastAsia="en-GB"/>
                <w14:ligatures w14:val="none"/>
              </w:rPr>
            </w:pPr>
            <w:r w:rsidRPr="00FF645D">
              <w:rPr>
                <w:rFonts w:ascii="Tahoma" w:eastAsia="Times New Roman" w:hAnsi="Tahoma" w:cs="Tahoma"/>
                <w:kern w:val="0"/>
                <w:sz w:val="20"/>
                <w:szCs w:val="20"/>
                <w:lang w:eastAsia="en-GB"/>
                <w14:ligatures w14:val="none"/>
              </w:rPr>
              <w:t>Allocate 2031 education spend to Phase 2</w:t>
            </w:r>
            <w:r w:rsidR="00E4718B">
              <w:rPr>
                <w:rFonts w:ascii="Tahoma" w:eastAsia="Times New Roman" w:hAnsi="Tahoma" w:cs="Tahoma"/>
                <w:kern w:val="0"/>
                <w:sz w:val="20"/>
                <w:szCs w:val="20"/>
                <w:lang w:eastAsia="en-GB"/>
                <w14:ligatures w14:val="none"/>
              </w:rPr>
              <w:t xml:space="preserve"> £6.6m</w:t>
            </w:r>
          </w:p>
        </w:tc>
      </w:tr>
      <w:tr w:rsidR="00FF645D" w:rsidRPr="00FF645D" w14:paraId="1830272A" w14:textId="77777777" w:rsidTr="00E4718B">
        <w:trPr>
          <w:trHeight w:val="271"/>
        </w:trPr>
        <w:tc>
          <w:tcPr>
            <w:tcW w:w="6113" w:type="dxa"/>
            <w:tcBorders>
              <w:top w:val="nil"/>
              <w:left w:val="nil"/>
              <w:bottom w:val="nil"/>
              <w:right w:val="nil"/>
            </w:tcBorders>
            <w:shd w:val="clear" w:color="auto" w:fill="auto"/>
            <w:noWrap/>
            <w:vAlign w:val="bottom"/>
            <w:hideMark/>
          </w:tcPr>
          <w:p w14:paraId="12170539" w14:textId="5AE25B12" w:rsidR="00FF645D" w:rsidRPr="00FF645D" w:rsidRDefault="00FF645D" w:rsidP="00FF645D">
            <w:pPr>
              <w:rPr>
                <w:rFonts w:ascii="Tahoma" w:eastAsia="Times New Roman" w:hAnsi="Tahoma" w:cs="Tahoma"/>
                <w:kern w:val="0"/>
                <w:sz w:val="20"/>
                <w:szCs w:val="20"/>
                <w:lang w:eastAsia="en-GB"/>
                <w14:ligatures w14:val="none"/>
              </w:rPr>
            </w:pPr>
            <w:r w:rsidRPr="00FF645D">
              <w:rPr>
                <w:rFonts w:ascii="Tahoma" w:eastAsia="Times New Roman" w:hAnsi="Tahoma" w:cs="Tahoma"/>
                <w:kern w:val="0"/>
                <w:sz w:val="20"/>
                <w:szCs w:val="20"/>
                <w:lang w:eastAsia="en-GB"/>
                <w14:ligatures w14:val="none"/>
              </w:rPr>
              <w:t>Allocate 2030 community spend to phase 2</w:t>
            </w:r>
            <w:r w:rsidR="00E4718B">
              <w:rPr>
                <w:rFonts w:ascii="Tahoma" w:eastAsia="Times New Roman" w:hAnsi="Tahoma" w:cs="Tahoma"/>
                <w:kern w:val="0"/>
                <w:sz w:val="20"/>
                <w:szCs w:val="20"/>
                <w:lang w:eastAsia="en-GB"/>
                <w14:ligatures w14:val="none"/>
              </w:rPr>
              <w:t xml:space="preserve"> £2.3m</w:t>
            </w:r>
          </w:p>
        </w:tc>
      </w:tr>
    </w:tbl>
    <w:p w14:paraId="5308D4DB" w14:textId="77777777" w:rsidR="000C401D" w:rsidRDefault="000C401D" w:rsidP="00E11B44"/>
    <w:p w14:paraId="4103EF49" w14:textId="76DE7B18" w:rsidR="00D46764" w:rsidRDefault="00FF645D" w:rsidP="00D46764">
      <w:r w:rsidRPr="00FF645D">
        <w:rPr>
          <w:u w:val="single"/>
        </w:rPr>
        <w:t>Compromises:</w:t>
      </w:r>
      <w:r>
        <w:t xml:space="preserve">  </w:t>
      </w:r>
      <w:r w:rsidR="00F53AFB">
        <w:t xml:space="preserve">compromises will be </w:t>
      </w:r>
      <w:proofErr w:type="gramStart"/>
      <w:r w:rsidR="00F53AFB">
        <w:t>needed</w:t>
      </w:r>
      <w:proofErr w:type="gramEnd"/>
      <w:r w:rsidR="00F53AFB">
        <w:t xml:space="preserve"> and </w:t>
      </w:r>
      <w:r w:rsidR="001A2FB1">
        <w:t>t</w:t>
      </w:r>
      <w:r w:rsidR="000C401D">
        <w:t xml:space="preserve">his is where the project comes to life.  We </w:t>
      </w:r>
      <w:r w:rsidR="00592706">
        <w:t xml:space="preserve">will </w:t>
      </w:r>
      <w:r>
        <w:t>only</w:t>
      </w:r>
      <w:r w:rsidR="00650ACE">
        <w:t xml:space="preserve"> have a </w:t>
      </w:r>
      <w:r>
        <w:t>deliverable</w:t>
      </w:r>
      <w:r w:rsidR="00650ACE">
        <w:t xml:space="preserve"> project when we have a </w:t>
      </w:r>
      <w:r w:rsidR="001A2FB1">
        <w:t xml:space="preserve">workable </w:t>
      </w:r>
      <w:r w:rsidR="00650ACE">
        <w:t>control system and comp</w:t>
      </w:r>
      <w:r>
        <w:t>r</w:t>
      </w:r>
      <w:r w:rsidR="00650ACE">
        <w:t>omises to be made</w:t>
      </w:r>
      <w:r w:rsidR="00592706">
        <w:t xml:space="preserve"> – otherwise we have little more than a wish list</w:t>
      </w:r>
      <w:r w:rsidR="00650ACE">
        <w:t>.</w:t>
      </w:r>
      <w:r>
        <w:t xml:space="preserve">  The stage 1 appraisal </w:t>
      </w:r>
      <w:r w:rsidR="00F53AFB">
        <w:t>will be an effective</w:t>
      </w:r>
      <w:r w:rsidR="004F19C3">
        <w:t xml:space="preserve"> </w:t>
      </w:r>
      <w:r>
        <w:t>control and we can test a range of alternative</w:t>
      </w:r>
      <w:r w:rsidR="001A2FB1">
        <w:t xml:space="preserve"> compromises</w:t>
      </w:r>
      <w:r>
        <w:t xml:space="preserve"> against it.  </w:t>
      </w:r>
    </w:p>
    <w:p w14:paraId="025891BD" w14:textId="77777777" w:rsidR="00D46764" w:rsidRDefault="00D46764" w:rsidP="00D46764"/>
    <w:p w14:paraId="79F57191" w14:textId="2189CABA" w:rsidR="00D46764" w:rsidRDefault="00D46764" w:rsidP="00D46764">
      <w:r>
        <w:t xml:space="preserve">I have modelled one </w:t>
      </w:r>
      <w:proofErr w:type="gramStart"/>
      <w:r>
        <w:t>particular set</w:t>
      </w:r>
      <w:proofErr w:type="gramEnd"/>
      <w:r>
        <w:t xml:space="preserve"> of </w:t>
      </w:r>
      <w:r w:rsidR="00BE72B7">
        <w:t>assumptions</w:t>
      </w:r>
      <w:r>
        <w:t xml:space="preserve"> </w:t>
      </w:r>
      <w:r w:rsidR="00AA75E7">
        <w:t>to</w:t>
      </w:r>
      <w:r w:rsidR="00E4718B">
        <w:t xml:space="preserve"> increase</w:t>
      </w:r>
      <w:r>
        <w:t xml:space="preserve"> the IRR to 11.</w:t>
      </w:r>
      <w:r w:rsidR="00881A95">
        <w:t>8</w:t>
      </w:r>
      <w:r>
        <w:t xml:space="preserve">%.  </w:t>
      </w:r>
      <w:r w:rsidR="00AA75E7">
        <w:t>Note</w:t>
      </w:r>
      <w:r>
        <w:t xml:space="preserve"> that this is </w:t>
      </w:r>
      <w:r w:rsidR="00C97D61">
        <w:t xml:space="preserve">just </w:t>
      </w:r>
      <w:r>
        <w:t xml:space="preserve">an illustration </w:t>
      </w:r>
      <w:r w:rsidR="001A2FB1">
        <w:t>to show</w:t>
      </w:r>
      <w:r>
        <w:t xml:space="preserve"> how numbers can be used in </w:t>
      </w:r>
      <w:r w:rsidR="001A2FB1">
        <w:t xml:space="preserve">the </w:t>
      </w:r>
      <w:r w:rsidR="004C204C">
        <w:t>planning</w:t>
      </w:r>
      <w:r w:rsidR="001A2FB1">
        <w:t xml:space="preserve"> process</w:t>
      </w:r>
      <w:r w:rsidR="00C97D61">
        <w:t>.</w:t>
      </w:r>
    </w:p>
    <w:p w14:paraId="21C58255" w14:textId="77777777" w:rsidR="00330E74" w:rsidRDefault="00330E74" w:rsidP="00D46764"/>
    <w:tbl>
      <w:tblPr>
        <w:tblStyle w:val="TableGrid"/>
        <w:tblW w:w="0" w:type="auto"/>
        <w:tblLook w:val="04A0" w:firstRow="1" w:lastRow="0" w:firstColumn="1" w:lastColumn="0" w:noHBand="0" w:noVBand="1"/>
      </w:tblPr>
      <w:tblGrid>
        <w:gridCol w:w="9010"/>
      </w:tblGrid>
      <w:tr w:rsidR="00330E74" w14:paraId="32A78A3A" w14:textId="77777777" w:rsidTr="00330E74">
        <w:tc>
          <w:tcPr>
            <w:tcW w:w="9010" w:type="dxa"/>
          </w:tcPr>
          <w:tbl>
            <w:tblPr>
              <w:tblW w:w="8259" w:type="dxa"/>
              <w:tblInd w:w="612" w:type="dxa"/>
              <w:tblLook w:val="04A0" w:firstRow="1" w:lastRow="0" w:firstColumn="1" w:lastColumn="0" w:noHBand="0" w:noVBand="1"/>
            </w:tblPr>
            <w:tblGrid>
              <w:gridCol w:w="399"/>
              <w:gridCol w:w="7783"/>
            </w:tblGrid>
            <w:tr w:rsidR="00330E74" w:rsidRPr="00D46764" w14:paraId="333A7383" w14:textId="77777777" w:rsidTr="00D73758">
              <w:trPr>
                <w:trHeight w:val="277"/>
              </w:trPr>
              <w:tc>
                <w:tcPr>
                  <w:tcW w:w="8259" w:type="dxa"/>
                  <w:gridSpan w:val="2"/>
                  <w:tcBorders>
                    <w:top w:val="nil"/>
                    <w:left w:val="nil"/>
                    <w:bottom w:val="nil"/>
                    <w:right w:val="nil"/>
                  </w:tcBorders>
                  <w:shd w:val="clear" w:color="auto" w:fill="auto"/>
                  <w:noWrap/>
                  <w:vAlign w:val="bottom"/>
                  <w:hideMark/>
                </w:tcPr>
                <w:p w14:paraId="28BB445D" w14:textId="77777777" w:rsidR="00330E74" w:rsidRPr="00D46764" w:rsidRDefault="00330E74" w:rsidP="00330E74">
                  <w:pPr>
                    <w:rPr>
                      <w:rFonts w:ascii="Tahoma" w:eastAsia="Times New Roman" w:hAnsi="Tahoma" w:cs="Tahoma"/>
                      <w:kern w:val="0"/>
                      <w:sz w:val="20"/>
                      <w:szCs w:val="20"/>
                      <w:u w:val="single"/>
                      <w:lang w:eastAsia="en-GB"/>
                      <w14:ligatures w14:val="none"/>
                    </w:rPr>
                  </w:pPr>
                  <w:r>
                    <w:rPr>
                      <w:rFonts w:ascii="Tahoma" w:eastAsia="Times New Roman" w:hAnsi="Tahoma" w:cs="Tahoma"/>
                      <w:kern w:val="0"/>
                      <w:sz w:val="20"/>
                      <w:szCs w:val="20"/>
                      <w:u w:val="single"/>
                      <w:lang w:eastAsia="en-GB"/>
                      <w14:ligatures w14:val="none"/>
                    </w:rPr>
                    <w:t>Some p</w:t>
                  </w:r>
                  <w:r w:rsidRPr="00E4718B">
                    <w:rPr>
                      <w:rFonts w:ascii="Tahoma" w:eastAsia="Times New Roman" w:hAnsi="Tahoma" w:cs="Tahoma"/>
                      <w:kern w:val="0"/>
                      <w:sz w:val="20"/>
                      <w:szCs w:val="20"/>
                      <w:u w:val="single"/>
                      <w:lang w:eastAsia="en-GB"/>
                      <w14:ligatures w14:val="none"/>
                    </w:rPr>
                    <w:t>ossible compromises</w:t>
                  </w:r>
                  <w:r>
                    <w:rPr>
                      <w:rFonts w:ascii="Tahoma" w:eastAsia="Times New Roman" w:hAnsi="Tahoma" w:cs="Tahoma"/>
                      <w:kern w:val="0"/>
                      <w:sz w:val="20"/>
                      <w:szCs w:val="20"/>
                      <w:u w:val="single"/>
                      <w:lang w:eastAsia="en-GB"/>
                      <w14:ligatures w14:val="none"/>
                    </w:rPr>
                    <w:t xml:space="preserve"> to increase the IRR to 11.8% -</w:t>
                  </w:r>
                  <w:r w:rsidRPr="00E4718B">
                    <w:rPr>
                      <w:rFonts w:ascii="Tahoma" w:eastAsia="Times New Roman" w:hAnsi="Tahoma" w:cs="Tahoma"/>
                      <w:kern w:val="0"/>
                      <w:sz w:val="20"/>
                      <w:szCs w:val="20"/>
                      <w:u w:val="single"/>
                      <w:lang w:eastAsia="en-GB"/>
                      <w14:ligatures w14:val="none"/>
                    </w:rPr>
                    <w:t xml:space="preserve"> for illustrative purposes</w:t>
                  </w:r>
                  <w:r>
                    <w:rPr>
                      <w:rFonts w:ascii="Tahoma" w:eastAsia="Times New Roman" w:hAnsi="Tahoma" w:cs="Tahoma"/>
                      <w:kern w:val="0"/>
                      <w:sz w:val="20"/>
                      <w:szCs w:val="20"/>
                      <w:u w:val="single"/>
                      <w:lang w:eastAsia="en-GB"/>
                      <w14:ligatures w14:val="none"/>
                    </w:rPr>
                    <w:t xml:space="preserve"> only</w:t>
                  </w:r>
                  <w:r w:rsidRPr="00E4718B">
                    <w:rPr>
                      <w:rFonts w:ascii="Tahoma" w:eastAsia="Times New Roman" w:hAnsi="Tahoma" w:cs="Tahoma"/>
                      <w:kern w:val="0"/>
                      <w:sz w:val="20"/>
                      <w:szCs w:val="20"/>
                      <w:u w:val="single"/>
                      <w:lang w:eastAsia="en-GB"/>
                      <w14:ligatures w14:val="none"/>
                    </w:rPr>
                    <w:t>:</w:t>
                  </w:r>
                </w:p>
              </w:tc>
            </w:tr>
            <w:tr w:rsidR="00330E74" w:rsidRPr="00D46764" w14:paraId="5618645A" w14:textId="77777777" w:rsidTr="00D73758">
              <w:trPr>
                <w:trHeight w:val="277"/>
              </w:trPr>
              <w:tc>
                <w:tcPr>
                  <w:tcW w:w="401" w:type="dxa"/>
                  <w:tcBorders>
                    <w:top w:val="nil"/>
                    <w:left w:val="nil"/>
                    <w:bottom w:val="nil"/>
                    <w:right w:val="nil"/>
                  </w:tcBorders>
                  <w:shd w:val="clear" w:color="auto" w:fill="auto"/>
                  <w:noWrap/>
                  <w:vAlign w:val="bottom"/>
                  <w:hideMark/>
                </w:tcPr>
                <w:p w14:paraId="646E2641" w14:textId="77777777" w:rsidR="00330E74" w:rsidRPr="00D46764" w:rsidRDefault="00330E74" w:rsidP="00330E74">
                  <w:pPr>
                    <w:rPr>
                      <w:rFonts w:ascii="Tahoma" w:eastAsia="Times New Roman" w:hAnsi="Tahoma" w:cs="Tahoma"/>
                      <w:kern w:val="0"/>
                      <w:sz w:val="18"/>
                      <w:szCs w:val="18"/>
                      <w:lang w:eastAsia="en-GB"/>
                      <w14:ligatures w14:val="none"/>
                    </w:rPr>
                  </w:pPr>
                </w:p>
              </w:tc>
              <w:tc>
                <w:tcPr>
                  <w:tcW w:w="7858" w:type="dxa"/>
                  <w:tcBorders>
                    <w:top w:val="nil"/>
                    <w:left w:val="nil"/>
                    <w:bottom w:val="nil"/>
                    <w:right w:val="nil"/>
                  </w:tcBorders>
                  <w:shd w:val="clear" w:color="auto" w:fill="auto"/>
                  <w:noWrap/>
                  <w:vAlign w:val="bottom"/>
                  <w:hideMark/>
                </w:tcPr>
                <w:p w14:paraId="70BE7842" w14:textId="77777777" w:rsidR="00330E74" w:rsidRPr="00D46764" w:rsidRDefault="00330E74" w:rsidP="00330E74">
                  <w:pPr>
                    <w:rPr>
                      <w:rFonts w:ascii="Tahoma" w:eastAsia="Times New Roman" w:hAnsi="Tahoma" w:cs="Tahoma"/>
                      <w:kern w:val="0"/>
                      <w:sz w:val="20"/>
                      <w:szCs w:val="20"/>
                      <w:lang w:eastAsia="en-GB"/>
                      <w14:ligatures w14:val="none"/>
                    </w:rPr>
                  </w:pPr>
                  <w:r w:rsidRPr="00D46764">
                    <w:rPr>
                      <w:rFonts w:ascii="Tahoma" w:eastAsia="Times New Roman" w:hAnsi="Tahoma" w:cs="Tahoma"/>
                      <w:kern w:val="0"/>
                      <w:sz w:val="20"/>
                      <w:szCs w:val="20"/>
                      <w:lang w:eastAsia="en-GB"/>
                      <w14:ligatures w14:val="none"/>
                    </w:rPr>
                    <w:t>Remove front ending of utility expenditure</w:t>
                  </w:r>
                  <w:r>
                    <w:rPr>
                      <w:rFonts w:ascii="Tahoma" w:eastAsia="Times New Roman" w:hAnsi="Tahoma" w:cs="Tahoma"/>
                      <w:kern w:val="0"/>
                      <w:sz w:val="20"/>
                      <w:szCs w:val="20"/>
                      <w:lang w:eastAsia="en-GB"/>
                      <w14:ligatures w14:val="none"/>
                    </w:rPr>
                    <w:t xml:space="preserve"> £8.3m saving for phase 1</w:t>
                  </w:r>
                </w:p>
              </w:tc>
            </w:tr>
            <w:tr w:rsidR="00330E74" w:rsidRPr="00D46764" w14:paraId="7D1061E8" w14:textId="77777777" w:rsidTr="00D73758">
              <w:trPr>
                <w:trHeight w:val="277"/>
              </w:trPr>
              <w:tc>
                <w:tcPr>
                  <w:tcW w:w="401" w:type="dxa"/>
                  <w:tcBorders>
                    <w:top w:val="nil"/>
                    <w:left w:val="nil"/>
                    <w:bottom w:val="nil"/>
                    <w:right w:val="nil"/>
                  </w:tcBorders>
                  <w:shd w:val="clear" w:color="auto" w:fill="auto"/>
                  <w:noWrap/>
                  <w:vAlign w:val="bottom"/>
                  <w:hideMark/>
                </w:tcPr>
                <w:p w14:paraId="00CEAB96" w14:textId="77777777" w:rsidR="00330E74" w:rsidRPr="00D46764" w:rsidRDefault="00330E74" w:rsidP="00330E74">
                  <w:pPr>
                    <w:rPr>
                      <w:rFonts w:ascii="Tahoma" w:eastAsia="Times New Roman" w:hAnsi="Tahoma" w:cs="Tahoma"/>
                      <w:kern w:val="0"/>
                      <w:sz w:val="18"/>
                      <w:szCs w:val="18"/>
                      <w:lang w:eastAsia="en-GB"/>
                      <w14:ligatures w14:val="none"/>
                    </w:rPr>
                  </w:pPr>
                </w:p>
              </w:tc>
              <w:tc>
                <w:tcPr>
                  <w:tcW w:w="7858" w:type="dxa"/>
                  <w:tcBorders>
                    <w:top w:val="nil"/>
                    <w:left w:val="nil"/>
                    <w:bottom w:val="nil"/>
                    <w:right w:val="nil"/>
                  </w:tcBorders>
                  <w:shd w:val="clear" w:color="auto" w:fill="auto"/>
                  <w:noWrap/>
                  <w:vAlign w:val="bottom"/>
                  <w:hideMark/>
                </w:tcPr>
                <w:p w14:paraId="139959A2" w14:textId="77777777" w:rsidR="00330E74" w:rsidRPr="00D46764" w:rsidRDefault="00330E74" w:rsidP="00330E74">
                  <w:pPr>
                    <w:rPr>
                      <w:rFonts w:ascii="Tahoma" w:eastAsia="Times New Roman" w:hAnsi="Tahoma" w:cs="Tahoma"/>
                      <w:kern w:val="0"/>
                      <w:sz w:val="20"/>
                      <w:szCs w:val="20"/>
                      <w:lang w:eastAsia="en-GB"/>
                      <w14:ligatures w14:val="none"/>
                    </w:rPr>
                  </w:pPr>
                  <w:r>
                    <w:rPr>
                      <w:rFonts w:ascii="Tahoma" w:eastAsia="Times New Roman" w:hAnsi="Tahoma" w:cs="Tahoma"/>
                      <w:kern w:val="0"/>
                      <w:sz w:val="20"/>
                      <w:szCs w:val="20"/>
                      <w:lang w:eastAsia="en-GB"/>
                      <w14:ligatures w14:val="none"/>
                    </w:rPr>
                    <w:t>Postpone some transport schemes</w:t>
                  </w:r>
                  <w:r w:rsidRPr="00D46764">
                    <w:rPr>
                      <w:rFonts w:ascii="Tahoma" w:eastAsia="Times New Roman" w:hAnsi="Tahoma" w:cs="Tahoma"/>
                      <w:kern w:val="0"/>
                      <w:sz w:val="20"/>
                      <w:szCs w:val="20"/>
                      <w:lang w:eastAsia="en-GB"/>
                      <w14:ligatures w14:val="none"/>
                    </w:rPr>
                    <w:t xml:space="preserve"> to phase 2</w:t>
                  </w:r>
                </w:p>
              </w:tc>
            </w:tr>
            <w:tr w:rsidR="00330E74" w:rsidRPr="00D46764" w14:paraId="28DC08C1" w14:textId="77777777" w:rsidTr="00D73758">
              <w:trPr>
                <w:trHeight w:val="277"/>
              </w:trPr>
              <w:tc>
                <w:tcPr>
                  <w:tcW w:w="401" w:type="dxa"/>
                  <w:tcBorders>
                    <w:top w:val="nil"/>
                    <w:left w:val="nil"/>
                    <w:bottom w:val="nil"/>
                    <w:right w:val="nil"/>
                  </w:tcBorders>
                  <w:shd w:val="clear" w:color="auto" w:fill="auto"/>
                  <w:noWrap/>
                  <w:vAlign w:val="bottom"/>
                  <w:hideMark/>
                </w:tcPr>
                <w:p w14:paraId="7889069D" w14:textId="77777777" w:rsidR="00330E74" w:rsidRPr="00D46764" w:rsidRDefault="00330E74" w:rsidP="00330E74">
                  <w:pPr>
                    <w:rPr>
                      <w:rFonts w:ascii="Tahoma" w:eastAsia="Times New Roman" w:hAnsi="Tahoma" w:cs="Tahoma"/>
                      <w:kern w:val="0"/>
                      <w:sz w:val="18"/>
                      <w:szCs w:val="18"/>
                      <w:lang w:eastAsia="en-GB"/>
                      <w14:ligatures w14:val="none"/>
                    </w:rPr>
                  </w:pPr>
                </w:p>
              </w:tc>
              <w:tc>
                <w:tcPr>
                  <w:tcW w:w="7858" w:type="dxa"/>
                  <w:tcBorders>
                    <w:top w:val="nil"/>
                    <w:left w:val="nil"/>
                    <w:bottom w:val="nil"/>
                    <w:right w:val="nil"/>
                  </w:tcBorders>
                  <w:shd w:val="clear" w:color="auto" w:fill="auto"/>
                  <w:noWrap/>
                  <w:vAlign w:val="bottom"/>
                  <w:hideMark/>
                </w:tcPr>
                <w:p w14:paraId="3BCFAAE6" w14:textId="77777777" w:rsidR="00330E74" w:rsidRPr="00D46764" w:rsidRDefault="00330E74" w:rsidP="00330E74">
                  <w:pPr>
                    <w:rPr>
                      <w:rFonts w:ascii="Tahoma" w:eastAsia="Times New Roman" w:hAnsi="Tahoma" w:cs="Tahoma"/>
                      <w:kern w:val="0"/>
                      <w:sz w:val="20"/>
                      <w:szCs w:val="20"/>
                      <w:lang w:eastAsia="en-GB"/>
                      <w14:ligatures w14:val="none"/>
                    </w:rPr>
                  </w:pPr>
                  <w:r w:rsidRPr="00D46764">
                    <w:rPr>
                      <w:rFonts w:ascii="Tahoma" w:eastAsia="Times New Roman" w:hAnsi="Tahoma" w:cs="Tahoma"/>
                      <w:kern w:val="0"/>
                      <w:sz w:val="20"/>
                      <w:szCs w:val="20"/>
                      <w:lang w:eastAsia="en-GB"/>
                      <w14:ligatures w14:val="none"/>
                    </w:rPr>
                    <w:t xml:space="preserve">* University - Hythe </w:t>
                  </w:r>
                  <w:r>
                    <w:rPr>
                      <w:rFonts w:ascii="Tahoma" w:eastAsia="Times New Roman" w:hAnsi="Tahoma" w:cs="Tahoma"/>
                      <w:kern w:val="0"/>
                      <w:sz w:val="20"/>
                      <w:szCs w:val="20"/>
                      <w:lang w:eastAsia="en-GB"/>
                      <w14:ligatures w14:val="none"/>
                    </w:rPr>
                    <w:t>–</w:t>
                  </w:r>
                  <w:r w:rsidRPr="00D46764">
                    <w:rPr>
                      <w:rFonts w:ascii="Tahoma" w:eastAsia="Times New Roman" w:hAnsi="Tahoma" w:cs="Tahoma"/>
                      <w:kern w:val="0"/>
                      <w:sz w:val="20"/>
                      <w:szCs w:val="20"/>
                      <w:lang w:eastAsia="en-GB"/>
                      <w14:ligatures w14:val="none"/>
                    </w:rPr>
                    <w:t xml:space="preserve"> Town</w:t>
                  </w:r>
                  <w:r>
                    <w:rPr>
                      <w:rFonts w:ascii="Tahoma" w:eastAsia="Times New Roman" w:hAnsi="Tahoma" w:cs="Tahoma"/>
                      <w:kern w:val="0"/>
                      <w:sz w:val="20"/>
                      <w:szCs w:val="20"/>
                      <w:lang w:eastAsia="en-GB"/>
                      <w14:ligatures w14:val="none"/>
                    </w:rPr>
                    <w:t xml:space="preserve"> £2.7m</w:t>
                  </w:r>
                </w:p>
              </w:tc>
            </w:tr>
            <w:tr w:rsidR="00330E74" w:rsidRPr="00D46764" w14:paraId="758B07C7" w14:textId="77777777" w:rsidTr="00D73758">
              <w:trPr>
                <w:trHeight w:val="277"/>
              </w:trPr>
              <w:tc>
                <w:tcPr>
                  <w:tcW w:w="401" w:type="dxa"/>
                  <w:tcBorders>
                    <w:top w:val="nil"/>
                    <w:left w:val="nil"/>
                    <w:bottom w:val="nil"/>
                    <w:right w:val="nil"/>
                  </w:tcBorders>
                  <w:shd w:val="clear" w:color="auto" w:fill="auto"/>
                  <w:noWrap/>
                  <w:vAlign w:val="bottom"/>
                  <w:hideMark/>
                </w:tcPr>
                <w:p w14:paraId="1C48ADBB" w14:textId="77777777" w:rsidR="00330E74" w:rsidRPr="00D46764" w:rsidRDefault="00330E74" w:rsidP="00330E74">
                  <w:pPr>
                    <w:rPr>
                      <w:rFonts w:ascii="Tahoma" w:eastAsia="Times New Roman" w:hAnsi="Tahoma" w:cs="Tahoma"/>
                      <w:kern w:val="0"/>
                      <w:sz w:val="18"/>
                      <w:szCs w:val="18"/>
                      <w:lang w:eastAsia="en-GB"/>
                      <w14:ligatures w14:val="none"/>
                    </w:rPr>
                  </w:pPr>
                </w:p>
              </w:tc>
              <w:tc>
                <w:tcPr>
                  <w:tcW w:w="7858" w:type="dxa"/>
                  <w:tcBorders>
                    <w:top w:val="nil"/>
                    <w:left w:val="nil"/>
                    <w:bottom w:val="nil"/>
                    <w:right w:val="nil"/>
                  </w:tcBorders>
                  <w:shd w:val="clear" w:color="auto" w:fill="auto"/>
                  <w:noWrap/>
                  <w:vAlign w:val="bottom"/>
                  <w:hideMark/>
                </w:tcPr>
                <w:p w14:paraId="2B3D9BB4" w14:textId="77777777" w:rsidR="00330E74" w:rsidRPr="00D46764" w:rsidRDefault="00330E74" w:rsidP="00330E74">
                  <w:pPr>
                    <w:rPr>
                      <w:rFonts w:ascii="Tahoma" w:eastAsia="Times New Roman" w:hAnsi="Tahoma" w:cs="Tahoma"/>
                      <w:kern w:val="0"/>
                      <w:sz w:val="20"/>
                      <w:szCs w:val="20"/>
                      <w:lang w:eastAsia="en-GB"/>
                      <w14:ligatures w14:val="none"/>
                    </w:rPr>
                  </w:pPr>
                  <w:r w:rsidRPr="00D46764">
                    <w:rPr>
                      <w:rFonts w:ascii="Tahoma" w:eastAsia="Times New Roman" w:hAnsi="Tahoma" w:cs="Tahoma"/>
                      <w:kern w:val="0"/>
                      <w:sz w:val="20"/>
                      <w:szCs w:val="20"/>
                      <w:lang w:eastAsia="en-GB"/>
                      <w14:ligatures w14:val="none"/>
                    </w:rPr>
                    <w:t>* Ipswich Road Improvements</w:t>
                  </w:r>
                  <w:r>
                    <w:rPr>
                      <w:rFonts w:ascii="Tahoma" w:eastAsia="Times New Roman" w:hAnsi="Tahoma" w:cs="Tahoma"/>
                      <w:kern w:val="0"/>
                      <w:sz w:val="20"/>
                      <w:szCs w:val="20"/>
                      <w:lang w:eastAsia="en-GB"/>
                      <w14:ligatures w14:val="none"/>
                    </w:rPr>
                    <w:t xml:space="preserve"> £1.7m</w:t>
                  </w:r>
                </w:p>
              </w:tc>
            </w:tr>
            <w:tr w:rsidR="00330E74" w:rsidRPr="00D46764" w14:paraId="430C471F" w14:textId="77777777" w:rsidTr="00D73758">
              <w:trPr>
                <w:trHeight w:val="277"/>
              </w:trPr>
              <w:tc>
                <w:tcPr>
                  <w:tcW w:w="401" w:type="dxa"/>
                  <w:tcBorders>
                    <w:top w:val="nil"/>
                    <w:left w:val="nil"/>
                    <w:bottom w:val="nil"/>
                    <w:right w:val="nil"/>
                  </w:tcBorders>
                  <w:shd w:val="clear" w:color="auto" w:fill="auto"/>
                  <w:noWrap/>
                  <w:vAlign w:val="bottom"/>
                  <w:hideMark/>
                </w:tcPr>
                <w:p w14:paraId="71B650C1" w14:textId="77777777" w:rsidR="00330E74" w:rsidRPr="00D46764" w:rsidRDefault="00330E74" w:rsidP="00330E74">
                  <w:pPr>
                    <w:rPr>
                      <w:rFonts w:ascii="Tahoma" w:eastAsia="Times New Roman" w:hAnsi="Tahoma" w:cs="Tahoma"/>
                      <w:kern w:val="0"/>
                      <w:sz w:val="18"/>
                      <w:szCs w:val="18"/>
                      <w:lang w:eastAsia="en-GB"/>
                      <w14:ligatures w14:val="none"/>
                    </w:rPr>
                  </w:pPr>
                </w:p>
              </w:tc>
              <w:tc>
                <w:tcPr>
                  <w:tcW w:w="7858" w:type="dxa"/>
                  <w:tcBorders>
                    <w:top w:val="nil"/>
                    <w:left w:val="nil"/>
                    <w:bottom w:val="nil"/>
                    <w:right w:val="nil"/>
                  </w:tcBorders>
                  <w:shd w:val="clear" w:color="auto" w:fill="auto"/>
                  <w:noWrap/>
                  <w:vAlign w:val="bottom"/>
                  <w:hideMark/>
                </w:tcPr>
                <w:p w14:paraId="7A44F8DE" w14:textId="77777777" w:rsidR="00330E74" w:rsidRPr="00D46764" w:rsidRDefault="00330E74" w:rsidP="00330E74">
                  <w:pPr>
                    <w:rPr>
                      <w:rFonts w:ascii="Tahoma" w:eastAsia="Times New Roman" w:hAnsi="Tahoma" w:cs="Tahoma"/>
                      <w:kern w:val="0"/>
                      <w:sz w:val="20"/>
                      <w:szCs w:val="20"/>
                      <w:lang w:eastAsia="en-GB"/>
                      <w14:ligatures w14:val="none"/>
                    </w:rPr>
                  </w:pPr>
                  <w:r w:rsidRPr="00D46764">
                    <w:rPr>
                      <w:rFonts w:ascii="Tahoma" w:eastAsia="Times New Roman" w:hAnsi="Tahoma" w:cs="Tahoma"/>
                      <w:kern w:val="0"/>
                      <w:sz w:val="20"/>
                      <w:szCs w:val="20"/>
                      <w:lang w:eastAsia="en-GB"/>
                      <w14:ligatures w14:val="none"/>
                    </w:rPr>
                    <w:t>* City Centre Improvements</w:t>
                  </w:r>
                  <w:r>
                    <w:rPr>
                      <w:rFonts w:ascii="Tahoma" w:eastAsia="Times New Roman" w:hAnsi="Tahoma" w:cs="Tahoma"/>
                      <w:kern w:val="0"/>
                      <w:sz w:val="20"/>
                      <w:szCs w:val="20"/>
                      <w:lang w:eastAsia="en-GB"/>
                      <w14:ligatures w14:val="none"/>
                    </w:rPr>
                    <w:t xml:space="preserve"> £6.7m</w:t>
                  </w:r>
                </w:p>
              </w:tc>
            </w:tr>
            <w:tr w:rsidR="00330E74" w:rsidRPr="00D46764" w14:paraId="3F76EAF2" w14:textId="77777777" w:rsidTr="00D73758">
              <w:trPr>
                <w:trHeight w:val="277"/>
              </w:trPr>
              <w:tc>
                <w:tcPr>
                  <w:tcW w:w="401" w:type="dxa"/>
                  <w:tcBorders>
                    <w:top w:val="nil"/>
                    <w:left w:val="nil"/>
                    <w:bottom w:val="nil"/>
                    <w:right w:val="nil"/>
                  </w:tcBorders>
                  <w:shd w:val="clear" w:color="auto" w:fill="auto"/>
                  <w:noWrap/>
                  <w:vAlign w:val="bottom"/>
                  <w:hideMark/>
                </w:tcPr>
                <w:p w14:paraId="49114E72" w14:textId="77777777" w:rsidR="00330E74" w:rsidRPr="00D46764" w:rsidRDefault="00330E74" w:rsidP="00330E74">
                  <w:pPr>
                    <w:rPr>
                      <w:rFonts w:ascii="Tahoma" w:eastAsia="Times New Roman" w:hAnsi="Tahoma" w:cs="Tahoma"/>
                      <w:kern w:val="0"/>
                      <w:sz w:val="18"/>
                      <w:szCs w:val="18"/>
                      <w:lang w:eastAsia="en-GB"/>
                      <w14:ligatures w14:val="none"/>
                    </w:rPr>
                  </w:pPr>
                </w:p>
              </w:tc>
              <w:tc>
                <w:tcPr>
                  <w:tcW w:w="7858" w:type="dxa"/>
                  <w:tcBorders>
                    <w:top w:val="nil"/>
                    <w:left w:val="nil"/>
                    <w:bottom w:val="nil"/>
                    <w:right w:val="nil"/>
                  </w:tcBorders>
                  <w:shd w:val="clear" w:color="auto" w:fill="auto"/>
                  <w:noWrap/>
                  <w:vAlign w:val="bottom"/>
                  <w:hideMark/>
                </w:tcPr>
                <w:p w14:paraId="37FB519E" w14:textId="77777777" w:rsidR="00330E74" w:rsidRPr="00D46764" w:rsidRDefault="00330E74" w:rsidP="00330E74">
                  <w:pPr>
                    <w:rPr>
                      <w:rFonts w:ascii="Tahoma" w:eastAsia="Times New Roman" w:hAnsi="Tahoma" w:cs="Tahoma"/>
                      <w:kern w:val="0"/>
                      <w:sz w:val="20"/>
                      <w:szCs w:val="20"/>
                      <w:lang w:eastAsia="en-GB"/>
                      <w14:ligatures w14:val="none"/>
                    </w:rPr>
                  </w:pPr>
                  <w:r w:rsidRPr="00D46764">
                    <w:rPr>
                      <w:rFonts w:ascii="Tahoma" w:eastAsia="Times New Roman" w:hAnsi="Tahoma" w:cs="Tahoma"/>
                      <w:kern w:val="0"/>
                      <w:sz w:val="20"/>
                      <w:szCs w:val="20"/>
                      <w:lang w:eastAsia="en-GB"/>
                      <w14:ligatures w14:val="none"/>
                    </w:rPr>
                    <w:t xml:space="preserve">* </w:t>
                  </w:r>
                  <w:proofErr w:type="spellStart"/>
                  <w:r w:rsidRPr="00D46764">
                    <w:rPr>
                      <w:rFonts w:ascii="Tahoma" w:eastAsia="Times New Roman" w:hAnsi="Tahoma" w:cs="Tahoma"/>
                      <w:kern w:val="0"/>
                      <w:sz w:val="20"/>
                      <w:szCs w:val="20"/>
                      <w:lang w:eastAsia="en-GB"/>
                      <w14:ligatures w14:val="none"/>
                    </w:rPr>
                    <w:t>Greenstead</w:t>
                  </w:r>
                  <w:proofErr w:type="spellEnd"/>
                  <w:r w:rsidRPr="00D46764">
                    <w:rPr>
                      <w:rFonts w:ascii="Tahoma" w:eastAsia="Times New Roman" w:hAnsi="Tahoma" w:cs="Tahoma"/>
                      <w:kern w:val="0"/>
                      <w:sz w:val="20"/>
                      <w:szCs w:val="20"/>
                      <w:lang w:eastAsia="en-GB"/>
                      <w14:ligatures w14:val="none"/>
                    </w:rPr>
                    <w:t xml:space="preserve"> Improvements</w:t>
                  </w:r>
                  <w:r>
                    <w:rPr>
                      <w:rFonts w:ascii="Tahoma" w:eastAsia="Times New Roman" w:hAnsi="Tahoma" w:cs="Tahoma"/>
                      <w:kern w:val="0"/>
                      <w:sz w:val="20"/>
                      <w:szCs w:val="20"/>
                      <w:lang w:eastAsia="en-GB"/>
                      <w14:ligatures w14:val="none"/>
                    </w:rPr>
                    <w:t xml:space="preserve"> £1.7m</w:t>
                  </w:r>
                </w:p>
              </w:tc>
            </w:tr>
            <w:tr w:rsidR="00330E74" w:rsidRPr="00D46764" w14:paraId="139FCFA7" w14:textId="77777777" w:rsidTr="00D73758">
              <w:trPr>
                <w:trHeight w:val="277"/>
              </w:trPr>
              <w:tc>
                <w:tcPr>
                  <w:tcW w:w="401" w:type="dxa"/>
                  <w:tcBorders>
                    <w:top w:val="nil"/>
                    <w:left w:val="nil"/>
                    <w:bottom w:val="nil"/>
                    <w:right w:val="nil"/>
                  </w:tcBorders>
                  <w:shd w:val="clear" w:color="auto" w:fill="auto"/>
                  <w:noWrap/>
                  <w:vAlign w:val="bottom"/>
                  <w:hideMark/>
                </w:tcPr>
                <w:p w14:paraId="502029DE" w14:textId="77777777" w:rsidR="00330E74" w:rsidRPr="00D46764" w:rsidRDefault="00330E74" w:rsidP="00330E74">
                  <w:pPr>
                    <w:rPr>
                      <w:rFonts w:ascii="Tahoma" w:eastAsia="Times New Roman" w:hAnsi="Tahoma" w:cs="Tahoma"/>
                      <w:kern w:val="0"/>
                      <w:sz w:val="18"/>
                      <w:szCs w:val="18"/>
                      <w:lang w:eastAsia="en-GB"/>
                      <w14:ligatures w14:val="none"/>
                    </w:rPr>
                  </w:pPr>
                </w:p>
              </w:tc>
              <w:tc>
                <w:tcPr>
                  <w:tcW w:w="7858" w:type="dxa"/>
                  <w:tcBorders>
                    <w:top w:val="nil"/>
                    <w:left w:val="nil"/>
                    <w:bottom w:val="nil"/>
                    <w:right w:val="nil"/>
                  </w:tcBorders>
                  <w:shd w:val="clear" w:color="auto" w:fill="auto"/>
                  <w:noWrap/>
                  <w:vAlign w:val="bottom"/>
                  <w:hideMark/>
                </w:tcPr>
                <w:p w14:paraId="7CF30F53" w14:textId="77777777" w:rsidR="00330E74" w:rsidRPr="00D46764" w:rsidRDefault="00330E74" w:rsidP="00330E74">
                  <w:pPr>
                    <w:rPr>
                      <w:rFonts w:ascii="Tahoma" w:eastAsia="Times New Roman" w:hAnsi="Tahoma" w:cs="Tahoma"/>
                      <w:kern w:val="0"/>
                      <w:sz w:val="20"/>
                      <w:szCs w:val="20"/>
                      <w:lang w:eastAsia="en-GB"/>
                      <w14:ligatures w14:val="none"/>
                    </w:rPr>
                  </w:pPr>
                  <w:r w:rsidRPr="00D46764">
                    <w:rPr>
                      <w:rFonts w:ascii="Tahoma" w:eastAsia="Times New Roman" w:hAnsi="Tahoma" w:cs="Tahoma"/>
                      <w:kern w:val="0"/>
                      <w:sz w:val="20"/>
                      <w:szCs w:val="20"/>
                      <w:lang w:eastAsia="en-GB"/>
                      <w14:ligatures w14:val="none"/>
                    </w:rPr>
                    <w:t>* Parsons Heath and Fox Street</w:t>
                  </w:r>
                  <w:r>
                    <w:rPr>
                      <w:rFonts w:ascii="Tahoma" w:eastAsia="Times New Roman" w:hAnsi="Tahoma" w:cs="Tahoma"/>
                      <w:kern w:val="0"/>
                      <w:sz w:val="20"/>
                      <w:szCs w:val="20"/>
                      <w:lang w:eastAsia="en-GB"/>
                      <w14:ligatures w14:val="none"/>
                    </w:rPr>
                    <w:t xml:space="preserve"> £2.1m</w:t>
                  </w:r>
                </w:p>
              </w:tc>
            </w:tr>
          </w:tbl>
          <w:p w14:paraId="078FCC91" w14:textId="77777777" w:rsidR="00330E74" w:rsidRDefault="00330E74" w:rsidP="00D46764"/>
        </w:tc>
      </w:tr>
    </w:tbl>
    <w:p w14:paraId="34A5E3ED" w14:textId="77777777" w:rsidR="00D46764" w:rsidRDefault="00D46764" w:rsidP="00D46764"/>
    <w:p w14:paraId="2035460C" w14:textId="33080B72" w:rsidR="005C64B4" w:rsidRDefault="005C64B4" w:rsidP="00D46764">
      <w:r>
        <w:t>Th</w:t>
      </w:r>
      <w:r w:rsidR="00330E74">
        <w:t>ese are allocations between phases, not cancellations</w:t>
      </w:r>
      <w:r w:rsidR="00AA75E7">
        <w:t>, and there is no reason why the phase 2 work can’t run in parallel to phase 1</w:t>
      </w:r>
      <w:r w:rsidR="007A1AF7">
        <w:t xml:space="preserve"> if the developer so wishes</w:t>
      </w:r>
      <w:r w:rsidR="00AA75E7">
        <w:t xml:space="preserve">.  The phasing is to be used as a disciplined control mechanism which </w:t>
      </w:r>
      <w:r w:rsidR="00BE72B7">
        <w:t xml:space="preserve">grants </w:t>
      </w:r>
      <w:r w:rsidR="00AA75E7">
        <w:t>planning permissions</w:t>
      </w:r>
      <w:r w:rsidR="005C07E1">
        <w:t xml:space="preserve"> supported by </w:t>
      </w:r>
      <w:r w:rsidR="00AA75E7">
        <w:t xml:space="preserve">legally binding </w:t>
      </w:r>
      <w:r w:rsidR="00BE72B7">
        <w:t xml:space="preserve">infrastructure </w:t>
      </w:r>
      <w:r w:rsidR="00AA75E7">
        <w:t>delivery commitments for each phase.</w:t>
      </w:r>
    </w:p>
    <w:p w14:paraId="7356482A" w14:textId="77777777" w:rsidR="005C64B4" w:rsidRDefault="005C64B4" w:rsidP="00D46764"/>
    <w:p w14:paraId="6D7C752E" w14:textId="405AD95F" w:rsidR="00F53AFB" w:rsidRPr="005C64B4" w:rsidRDefault="00F53AFB" w:rsidP="00D46764">
      <w:pPr>
        <w:rPr>
          <w:b/>
          <w:bCs/>
        </w:rPr>
      </w:pPr>
      <w:r w:rsidRPr="005C64B4">
        <w:rPr>
          <w:b/>
          <w:bCs/>
        </w:rPr>
        <w:t>The Link Road</w:t>
      </w:r>
    </w:p>
    <w:p w14:paraId="474F4510" w14:textId="4AA6FAD2" w:rsidR="00F53AFB" w:rsidRDefault="00F53AFB" w:rsidP="00D46764">
      <w:r>
        <w:t xml:space="preserve">The </w:t>
      </w:r>
      <w:r w:rsidR="004C204C">
        <w:t xml:space="preserve">Gerald Eve </w:t>
      </w:r>
      <w:r>
        <w:t xml:space="preserve">appraisal assumes that </w:t>
      </w:r>
      <w:r w:rsidR="00AD5B08">
        <w:t xml:space="preserve">the £21.25m </w:t>
      </w:r>
      <w:r>
        <w:t xml:space="preserve">gap funding for the link road will be paid in 2027. It was prepared before the news about the </w:t>
      </w:r>
      <w:r w:rsidR="00330E74">
        <w:t>phased</w:t>
      </w:r>
      <w:r>
        <w:t xml:space="preserve"> approach came through and it isn’t clear whether £21.25m will be sufficient.  CCC has expressed “</w:t>
      </w:r>
      <w:r w:rsidR="007A1AF7">
        <w:t>strong</w:t>
      </w:r>
      <w:r>
        <w:t xml:space="preserve"> concerns” about </w:t>
      </w:r>
      <w:r>
        <w:lastRenderedPageBreak/>
        <w:t xml:space="preserve">the risk of non-delivery, and I hope </w:t>
      </w:r>
      <w:r w:rsidR="007A1AF7">
        <w:t>someone</w:t>
      </w:r>
      <w:r w:rsidR="005C64B4">
        <w:t xml:space="preserve"> will ask </w:t>
      </w:r>
      <w:r>
        <w:t xml:space="preserve">the Inspector to modify the DPD to include additional protections </w:t>
      </w:r>
      <w:r w:rsidR="00BE72B7">
        <w:t>such as</w:t>
      </w:r>
      <w:r w:rsidR="00E210CC">
        <w:t>:</w:t>
      </w:r>
    </w:p>
    <w:p w14:paraId="4DE9A31E" w14:textId="77777777" w:rsidR="00E210CC" w:rsidRDefault="00E210CC" w:rsidP="00E210CC">
      <w:pPr>
        <w:pStyle w:val="ListParagraph"/>
        <w:numPr>
          <w:ilvl w:val="0"/>
          <w:numId w:val="9"/>
        </w:numPr>
      </w:pPr>
      <w:r>
        <w:t xml:space="preserve">no planning permissions for housing until delivery of the link road is </w:t>
      </w:r>
      <w:proofErr w:type="gramStart"/>
      <w:r>
        <w:t>certain</w:t>
      </w:r>
      <w:proofErr w:type="gramEnd"/>
    </w:p>
    <w:p w14:paraId="17238224" w14:textId="59C6736B" w:rsidR="00E210CC" w:rsidRDefault="00E210CC" w:rsidP="00E210CC">
      <w:pPr>
        <w:pStyle w:val="ListParagraph"/>
        <w:numPr>
          <w:ilvl w:val="0"/>
          <w:numId w:val="9"/>
        </w:numPr>
      </w:pPr>
      <w:r>
        <w:t xml:space="preserve">no housing starts until both phases of the link road are started, and/or </w:t>
      </w:r>
    </w:p>
    <w:p w14:paraId="48445EC4" w14:textId="394A048B" w:rsidR="00E210CC" w:rsidRDefault="00E210CC" w:rsidP="00E210CC">
      <w:pPr>
        <w:pStyle w:val="ListParagraph"/>
        <w:numPr>
          <w:ilvl w:val="0"/>
          <w:numId w:val="9"/>
        </w:numPr>
      </w:pPr>
      <w:r>
        <w:t>no more than 1000</w:t>
      </w:r>
      <w:r>
        <w:rPr>
          <w:rStyle w:val="FootnoteReference"/>
        </w:rPr>
        <w:footnoteReference w:id="4"/>
      </w:r>
      <w:r>
        <w:t xml:space="preserve">dwellings occupied before the link road is completed.  </w:t>
      </w:r>
    </w:p>
    <w:p w14:paraId="301B5525" w14:textId="77777777" w:rsidR="00F53AFB" w:rsidRDefault="00F53AFB" w:rsidP="00D46764"/>
    <w:p w14:paraId="7A6E057A" w14:textId="2FA24475" w:rsidR="00F53AFB" w:rsidRDefault="005C64B4" w:rsidP="00D46764">
      <w:r>
        <w:t xml:space="preserve">Further cost over-runs </w:t>
      </w:r>
      <w:r w:rsidR="007A1AF7">
        <w:t xml:space="preserve">on the link road </w:t>
      </w:r>
      <w:r>
        <w:t xml:space="preserve">will mean </w:t>
      </w:r>
      <w:r w:rsidR="005C07E1">
        <w:t xml:space="preserve">that </w:t>
      </w:r>
      <w:r w:rsidR="00BE72B7">
        <w:t>savings</w:t>
      </w:r>
      <w:r w:rsidR="00F53AFB">
        <w:t xml:space="preserve"> </w:t>
      </w:r>
      <w:r w:rsidR="005C07E1">
        <w:t xml:space="preserve">will be required </w:t>
      </w:r>
      <w:r>
        <w:t>elsewhere</w:t>
      </w:r>
      <w:r w:rsidR="00F53AFB">
        <w:t xml:space="preserve">.  </w:t>
      </w:r>
      <w:r w:rsidR="00BE72B7">
        <w:t xml:space="preserve"> </w:t>
      </w:r>
      <w:r w:rsidR="008E42A7">
        <w:t xml:space="preserve">The Inspector will </w:t>
      </w:r>
      <w:r w:rsidR="005C07E1">
        <w:t>need</w:t>
      </w:r>
      <w:r w:rsidR="008E42A7">
        <w:t xml:space="preserve"> to see the costings and understand the HIF agreement, neither of which are currently visible to Councillors.</w:t>
      </w:r>
    </w:p>
    <w:p w14:paraId="52E62848" w14:textId="77777777" w:rsidR="00D46764" w:rsidRDefault="00D46764" w:rsidP="00D46764"/>
    <w:p w14:paraId="520D06B8" w14:textId="55034B4C" w:rsidR="00D46764" w:rsidRPr="00844202" w:rsidRDefault="00592706" w:rsidP="00D46764">
      <w:pPr>
        <w:rPr>
          <w:b/>
          <w:bCs/>
          <w:u w:val="single"/>
        </w:rPr>
      </w:pPr>
      <w:r w:rsidRPr="00844202">
        <w:rPr>
          <w:b/>
          <w:bCs/>
          <w:u w:val="single"/>
        </w:rPr>
        <w:t>Conclusion:</w:t>
      </w:r>
    </w:p>
    <w:p w14:paraId="21BD2051" w14:textId="63EF9A7D" w:rsidR="00AD75A3" w:rsidRDefault="00592706" w:rsidP="00D46764">
      <w:r>
        <w:t xml:space="preserve">I hope that this note shows how a phase 1 appraisal </w:t>
      </w:r>
      <w:r w:rsidR="005C64B4">
        <w:t>could be used</w:t>
      </w:r>
      <w:r w:rsidR="005C07E1">
        <w:t xml:space="preserve"> and how it leads to a credible commercial strategy</w:t>
      </w:r>
      <w:r>
        <w:t xml:space="preserve">.  </w:t>
      </w:r>
      <w:r w:rsidR="005C64B4">
        <w:t>It</w:t>
      </w:r>
      <w:r>
        <w:t xml:space="preserve"> was discussed with senior </w:t>
      </w:r>
      <w:r w:rsidR="00366D7C">
        <w:t xml:space="preserve">Colchester </w:t>
      </w:r>
      <w:r>
        <w:t>Councillors from all parties</w:t>
      </w:r>
      <w:r w:rsidR="00AD75A3">
        <w:t xml:space="preserve"> (including the Mayor, the portfolio holder and </w:t>
      </w:r>
      <w:r w:rsidR="005C64B4">
        <w:t>two</w:t>
      </w:r>
      <w:r w:rsidR="00AD75A3">
        <w:t xml:space="preserve"> former Council leader</w:t>
      </w:r>
      <w:r w:rsidR="005C64B4">
        <w:t>s</w:t>
      </w:r>
      <w:r w:rsidR="00AD75A3">
        <w:t>)</w:t>
      </w:r>
      <w:r>
        <w:t xml:space="preserve"> and the </w:t>
      </w:r>
      <w:r w:rsidR="00881A95">
        <w:t xml:space="preserve">detailed </w:t>
      </w:r>
      <w:r>
        <w:t xml:space="preserve">wording was discussed with </w:t>
      </w:r>
      <w:r w:rsidR="00AD75A3">
        <w:t xml:space="preserve">several </w:t>
      </w:r>
      <w:r>
        <w:t xml:space="preserve">officers including </w:t>
      </w:r>
      <w:r w:rsidR="00AD75A3">
        <w:t xml:space="preserve">Karen </w:t>
      </w:r>
      <w:proofErr w:type="spellStart"/>
      <w:r w:rsidR="00AD75A3">
        <w:t>Syrett</w:t>
      </w:r>
      <w:proofErr w:type="spellEnd"/>
      <w:r w:rsidR="00AD75A3">
        <w:t xml:space="preserve">, Andrew Weavers and Steve </w:t>
      </w:r>
      <w:proofErr w:type="spellStart"/>
      <w:r w:rsidR="00AD75A3">
        <w:t>Evison</w:t>
      </w:r>
      <w:proofErr w:type="spellEnd"/>
      <w:r w:rsidR="00AD75A3">
        <w:t xml:space="preserve">.  It now has the support of the full </w:t>
      </w:r>
      <w:r w:rsidR="005C64B4">
        <w:t xml:space="preserve">Colchester </w:t>
      </w:r>
      <w:r w:rsidR="00AD75A3">
        <w:t xml:space="preserve">Council and I hope that other Councils will understand and support </w:t>
      </w:r>
      <w:r w:rsidR="00881A95">
        <w:t>it too.</w:t>
      </w:r>
    </w:p>
    <w:p w14:paraId="25DCF6A1" w14:textId="77777777" w:rsidR="00AD75A3" w:rsidRDefault="00AD75A3" w:rsidP="00D46764"/>
    <w:p w14:paraId="2FE08E96" w14:textId="658C6C0B" w:rsidR="00592706" w:rsidRDefault="00592706" w:rsidP="00D46764">
      <w:r>
        <w:t>I don’t expect my suggestions</w:t>
      </w:r>
      <w:r w:rsidR="00AD75A3">
        <w:t xml:space="preserve"> </w:t>
      </w:r>
      <w:r>
        <w:t>to be followed</w:t>
      </w:r>
      <w:r w:rsidR="005C64B4">
        <w:t xml:space="preserve"> exactly</w:t>
      </w:r>
      <w:r>
        <w:t xml:space="preserve"> but </w:t>
      </w:r>
      <w:r w:rsidR="00AD75A3">
        <w:t>I hope they</w:t>
      </w:r>
      <w:r w:rsidR="00881A95">
        <w:t xml:space="preserve"> will</w:t>
      </w:r>
      <w:r w:rsidR="00AD75A3">
        <w:t xml:space="preserve"> </w:t>
      </w:r>
      <w:r>
        <w:t>increase awareness of the Councils</w:t>
      </w:r>
      <w:r w:rsidR="00881A95">
        <w:t>’</w:t>
      </w:r>
      <w:r>
        <w:t xml:space="preserve"> weak commercial position and significant risk of failure at Inspection</w:t>
      </w:r>
      <w:r w:rsidR="00E210CC">
        <w:t>.</w:t>
      </w:r>
    </w:p>
    <w:p w14:paraId="33332F95" w14:textId="77777777" w:rsidR="004C204C" w:rsidRDefault="004C204C" w:rsidP="00D46764"/>
    <w:p w14:paraId="39544C43" w14:textId="13CA9C38" w:rsidR="004C204C" w:rsidRDefault="004C204C" w:rsidP="00D46764">
      <w:r>
        <w:t>William Sunnucks</w:t>
      </w:r>
      <w:r w:rsidR="009864B3">
        <w:t xml:space="preserve"> MA ACA MBA</w:t>
      </w:r>
    </w:p>
    <w:p w14:paraId="34266138" w14:textId="366829F7" w:rsidR="00CA2C31" w:rsidRDefault="00CA2C31" w:rsidP="00D46764">
      <w:r>
        <w:t>18/4/2023</w:t>
      </w:r>
    </w:p>
    <w:p w14:paraId="0E3E1802" w14:textId="77777777" w:rsidR="004C204C" w:rsidRDefault="004C204C" w:rsidP="00D46764"/>
    <w:p w14:paraId="5A494B45" w14:textId="77777777" w:rsidR="00E11B44" w:rsidRDefault="00E11B44" w:rsidP="00E71C0E"/>
    <w:p w14:paraId="6E110556" w14:textId="77777777" w:rsidR="00B051DD" w:rsidRDefault="00000000"/>
    <w:sectPr w:rsidR="00B051DD" w:rsidSect="00B4298F">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149A5" w14:textId="77777777" w:rsidR="00586797" w:rsidRDefault="00586797" w:rsidP="00E71C0E">
      <w:r>
        <w:separator/>
      </w:r>
    </w:p>
  </w:endnote>
  <w:endnote w:type="continuationSeparator" w:id="0">
    <w:p w14:paraId="6DFDD42C" w14:textId="77777777" w:rsidR="00586797" w:rsidRDefault="00586797" w:rsidP="00E7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MT">
    <w:altName w:val="Arial"/>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7723679"/>
      <w:docPartObj>
        <w:docPartGallery w:val="Page Numbers (Bottom of Page)"/>
        <w:docPartUnique/>
      </w:docPartObj>
    </w:sdtPr>
    <w:sdtContent>
      <w:p w14:paraId="310D2D4C" w14:textId="59135369" w:rsidR="00CA2C31" w:rsidRDefault="00CA2C31" w:rsidP="00C01A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6CA546" w14:textId="77777777" w:rsidR="00CA2C31" w:rsidRDefault="00CA2C31" w:rsidP="00CA2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2715336"/>
      <w:docPartObj>
        <w:docPartGallery w:val="Page Numbers (Bottom of Page)"/>
        <w:docPartUnique/>
      </w:docPartObj>
    </w:sdtPr>
    <w:sdtContent>
      <w:p w14:paraId="1AC939C0" w14:textId="5CC657C4" w:rsidR="00CA2C31" w:rsidRDefault="00CA2C31" w:rsidP="00C01A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81EF61" w14:textId="77777777" w:rsidR="00CA2C31" w:rsidRDefault="00CA2C31" w:rsidP="00CA2C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FE69D" w14:textId="77777777" w:rsidR="00586797" w:rsidRDefault="00586797" w:rsidP="00E71C0E">
      <w:r>
        <w:separator/>
      </w:r>
    </w:p>
  </w:footnote>
  <w:footnote w:type="continuationSeparator" w:id="0">
    <w:p w14:paraId="2B65AC81" w14:textId="77777777" w:rsidR="00586797" w:rsidRDefault="00586797" w:rsidP="00E71C0E">
      <w:r>
        <w:continuationSeparator/>
      </w:r>
    </w:p>
  </w:footnote>
  <w:footnote w:id="1">
    <w:p w14:paraId="5DCFDAF8" w14:textId="0F40CF5D" w:rsidR="001F023B" w:rsidRDefault="001F023B" w:rsidP="001F023B">
      <w:pPr>
        <w:pStyle w:val="FootnoteText"/>
      </w:pPr>
      <w:r>
        <w:rPr>
          <w:rStyle w:val="FootnoteReference"/>
        </w:rPr>
        <w:footnoteRef/>
      </w:r>
      <w:r>
        <w:t xml:space="preserve"> Argus Developer implicitly assumes that developer profit is extracted from the scheme towards the end.   Housebuilders might be prepared to wait 10 years, but 25 years plus would be unprecedented.   £1 of profit in 25 years at a discount rate of 7.5% would be worth just 16p now.  It is wrong to compare present and future values without discounting to NPV.</w:t>
      </w:r>
    </w:p>
  </w:footnote>
  <w:footnote w:id="2">
    <w:p w14:paraId="39E2CA18" w14:textId="14CE5F99" w:rsidR="00BE7663" w:rsidRDefault="00BE7663">
      <w:pPr>
        <w:pStyle w:val="FootnoteText"/>
      </w:pPr>
      <w:r>
        <w:rPr>
          <w:rStyle w:val="FootnoteReference"/>
        </w:rPr>
        <w:footnoteRef/>
      </w:r>
      <w:r>
        <w:t xml:space="preserve"> Hyas interest charge for its closest case was £120m.  Gerald Eve interest charge £82.9m.  Difference 37.1m.</w:t>
      </w:r>
    </w:p>
  </w:footnote>
  <w:footnote w:id="3">
    <w:p w14:paraId="7B315DCB" w14:textId="77777777" w:rsidR="00D37906" w:rsidRPr="00D37906" w:rsidRDefault="00D37906" w:rsidP="00D37906">
      <w:pPr>
        <w:rPr>
          <w:sz w:val="21"/>
          <w:szCs w:val="21"/>
        </w:rPr>
      </w:pPr>
      <w:r w:rsidRPr="00D37906">
        <w:rPr>
          <w:rStyle w:val="FootnoteReference"/>
          <w:sz w:val="21"/>
          <w:szCs w:val="21"/>
        </w:rPr>
        <w:footnoteRef/>
      </w:r>
      <w:r w:rsidRPr="00D37906">
        <w:rPr>
          <w:sz w:val="21"/>
          <w:szCs w:val="21"/>
        </w:rPr>
        <w:t xml:space="preserve"> The IDPF grosses up the £100m HIF Grant and excludes fees and contingency.  </w:t>
      </w:r>
    </w:p>
    <w:p w14:paraId="7B8AAF8D" w14:textId="78F8C884" w:rsidR="00D37906" w:rsidRPr="00D37906" w:rsidRDefault="00D37906" w:rsidP="00D37906">
      <w:pPr>
        <w:rPr>
          <w:sz w:val="21"/>
          <w:szCs w:val="21"/>
        </w:rPr>
      </w:pPr>
      <w:r w:rsidRPr="00D37906">
        <w:rPr>
          <w:sz w:val="21"/>
          <w:szCs w:val="21"/>
        </w:rPr>
        <w:t xml:space="preserve">There are some other differences in particular on the timing of the electricity connection.  Phase 1 delivery of 1750 homes doesn’t fit neatly with the Gerald Eve years.  </w:t>
      </w:r>
    </w:p>
    <w:p w14:paraId="132E4948" w14:textId="127DA392" w:rsidR="00D37906" w:rsidRDefault="00D37906">
      <w:pPr>
        <w:pStyle w:val="FootnoteText"/>
      </w:pPr>
    </w:p>
  </w:footnote>
  <w:footnote w:id="4">
    <w:p w14:paraId="01F46E2F" w14:textId="77777777" w:rsidR="00E210CC" w:rsidRDefault="00E210CC" w:rsidP="00E210CC">
      <w:r>
        <w:rPr>
          <w:rStyle w:val="FootnoteReference"/>
        </w:rPr>
        <w:footnoteRef/>
      </w:r>
      <w:r>
        <w:t xml:space="preserve"> The HIF bid assumed 1000 homes could be built before the link road was operational. But there has been more recent talk about 4000 supported by more optimistic assumptions about usage of the Rapid Transit System.</w:t>
      </w:r>
    </w:p>
    <w:p w14:paraId="1933A08C" w14:textId="77777777" w:rsidR="00E210CC" w:rsidRDefault="00E210CC" w:rsidP="00E210C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7147"/>
    <w:multiLevelType w:val="multilevel"/>
    <w:tmpl w:val="EDE4048C"/>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89535C"/>
    <w:multiLevelType w:val="hybridMultilevel"/>
    <w:tmpl w:val="5C64FF4C"/>
    <w:lvl w:ilvl="0" w:tplc="60FACD4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80206"/>
    <w:multiLevelType w:val="multilevel"/>
    <w:tmpl w:val="EDE4048C"/>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DE3DD6"/>
    <w:multiLevelType w:val="hybridMultilevel"/>
    <w:tmpl w:val="C51AF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D71ADF"/>
    <w:multiLevelType w:val="hybridMultilevel"/>
    <w:tmpl w:val="CA90977A"/>
    <w:lvl w:ilvl="0" w:tplc="AA18FC4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103D54"/>
    <w:multiLevelType w:val="hybridMultilevel"/>
    <w:tmpl w:val="1C0671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315316C"/>
    <w:multiLevelType w:val="hybridMultilevel"/>
    <w:tmpl w:val="D6B0A0B8"/>
    <w:lvl w:ilvl="0" w:tplc="F24E3E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BC00A9"/>
    <w:multiLevelType w:val="hybridMultilevel"/>
    <w:tmpl w:val="DB62F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387C1C"/>
    <w:multiLevelType w:val="hybridMultilevel"/>
    <w:tmpl w:val="A6CC85C6"/>
    <w:lvl w:ilvl="0" w:tplc="B57ABAD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F3681D"/>
    <w:multiLevelType w:val="hybridMultilevel"/>
    <w:tmpl w:val="F800C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5997607">
    <w:abstractNumId w:val="0"/>
  </w:num>
  <w:num w:numId="2" w16cid:durableId="1579091260">
    <w:abstractNumId w:val="7"/>
  </w:num>
  <w:num w:numId="3" w16cid:durableId="943149789">
    <w:abstractNumId w:val="2"/>
  </w:num>
  <w:num w:numId="4" w16cid:durableId="1706707700">
    <w:abstractNumId w:val="1"/>
  </w:num>
  <w:num w:numId="5" w16cid:durableId="665403464">
    <w:abstractNumId w:val="8"/>
  </w:num>
  <w:num w:numId="6" w16cid:durableId="2035039414">
    <w:abstractNumId w:val="3"/>
  </w:num>
  <w:num w:numId="7" w16cid:durableId="1541672057">
    <w:abstractNumId w:val="5"/>
  </w:num>
  <w:num w:numId="8" w16cid:durableId="1181352709">
    <w:abstractNumId w:val="9"/>
  </w:num>
  <w:num w:numId="9" w16cid:durableId="1146238849">
    <w:abstractNumId w:val="6"/>
  </w:num>
  <w:num w:numId="10" w16cid:durableId="1031221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7D"/>
    <w:rsid w:val="000303BD"/>
    <w:rsid w:val="000C401D"/>
    <w:rsid w:val="000E1AC8"/>
    <w:rsid w:val="00110B5B"/>
    <w:rsid w:val="00125923"/>
    <w:rsid w:val="00134B32"/>
    <w:rsid w:val="00137696"/>
    <w:rsid w:val="00171DB9"/>
    <w:rsid w:val="00185D4A"/>
    <w:rsid w:val="0018641D"/>
    <w:rsid w:val="00187D5E"/>
    <w:rsid w:val="001A2FB1"/>
    <w:rsid w:val="001F023B"/>
    <w:rsid w:val="001F53D4"/>
    <w:rsid w:val="0021706D"/>
    <w:rsid w:val="00254DAB"/>
    <w:rsid w:val="00301E00"/>
    <w:rsid w:val="00330E74"/>
    <w:rsid w:val="003632BD"/>
    <w:rsid w:val="00366D7C"/>
    <w:rsid w:val="003966C4"/>
    <w:rsid w:val="003A7AFD"/>
    <w:rsid w:val="003B3B67"/>
    <w:rsid w:val="003E4B49"/>
    <w:rsid w:val="00410889"/>
    <w:rsid w:val="00455F34"/>
    <w:rsid w:val="004662B0"/>
    <w:rsid w:val="004C204C"/>
    <w:rsid w:val="004F19C3"/>
    <w:rsid w:val="005607A5"/>
    <w:rsid w:val="00586797"/>
    <w:rsid w:val="00592706"/>
    <w:rsid w:val="005C07E1"/>
    <w:rsid w:val="005C64B4"/>
    <w:rsid w:val="005F6C78"/>
    <w:rsid w:val="006047CB"/>
    <w:rsid w:val="0062199E"/>
    <w:rsid w:val="006366CE"/>
    <w:rsid w:val="00643DC8"/>
    <w:rsid w:val="00650ACE"/>
    <w:rsid w:val="00686EFB"/>
    <w:rsid w:val="006C576F"/>
    <w:rsid w:val="006E13DB"/>
    <w:rsid w:val="007278CD"/>
    <w:rsid w:val="007A1AF7"/>
    <w:rsid w:val="008317CA"/>
    <w:rsid w:val="00844202"/>
    <w:rsid w:val="00881A95"/>
    <w:rsid w:val="008B6F4F"/>
    <w:rsid w:val="008C41D8"/>
    <w:rsid w:val="008E42A7"/>
    <w:rsid w:val="00914CAA"/>
    <w:rsid w:val="00970428"/>
    <w:rsid w:val="009864B3"/>
    <w:rsid w:val="009A266E"/>
    <w:rsid w:val="00A03503"/>
    <w:rsid w:val="00A23608"/>
    <w:rsid w:val="00A31C22"/>
    <w:rsid w:val="00AA5D52"/>
    <w:rsid w:val="00AA75E7"/>
    <w:rsid w:val="00AB327D"/>
    <w:rsid w:val="00AB43DE"/>
    <w:rsid w:val="00AD5B08"/>
    <w:rsid w:val="00AD75A3"/>
    <w:rsid w:val="00AE276A"/>
    <w:rsid w:val="00B4298F"/>
    <w:rsid w:val="00BA51E8"/>
    <w:rsid w:val="00BE72B7"/>
    <w:rsid w:val="00BE7663"/>
    <w:rsid w:val="00C0456D"/>
    <w:rsid w:val="00C908BF"/>
    <w:rsid w:val="00C97D61"/>
    <w:rsid w:val="00CA2C31"/>
    <w:rsid w:val="00CB5244"/>
    <w:rsid w:val="00CD0BB6"/>
    <w:rsid w:val="00CF5387"/>
    <w:rsid w:val="00D37906"/>
    <w:rsid w:val="00D46764"/>
    <w:rsid w:val="00D47D00"/>
    <w:rsid w:val="00D533B4"/>
    <w:rsid w:val="00D6734D"/>
    <w:rsid w:val="00D76AE6"/>
    <w:rsid w:val="00DE04F1"/>
    <w:rsid w:val="00DF47FC"/>
    <w:rsid w:val="00E11B44"/>
    <w:rsid w:val="00E210CC"/>
    <w:rsid w:val="00E43317"/>
    <w:rsid w:val="00E4718B"/>
    <w:rsid w:val="00E71C0E"/>
    <w:rsid w:val="00EB7844"/>
    <w:rsid w:val="00EE57F3"/>
    <w:rsid w:val="00EF5196"/>
    <w:rsid w:val="00F14BBA"/>
    <w:rsid w:val="00F5110A"/>
    <w:rsid w:val="00F53AFB"/>
    <w:rsid w:val="00F97271"/>
    <w:rsid w:val="00FA5F83"/>
    <w:rsid w:val="00FC0922"/>
    <w:rsid w:val="00FF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FD99E8"/>
  <w15:chartTrackingRefBased/>
  <w15:docId w15:val="{F7FE956B-FD6B-044F-9C39-102FEEB0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B327D"/>
  </w:style>
  <w:style w:type="paragraph" w:styleId="ListParagraph">
    <w:name w:val="List Paragraph"/>
    <w:basedOn w:val="Normal"/>
    <w:uiPriority w:val="34"/>
    <w:qFormat/>
    <w:rsid w:val="00AB327D"/>
    <w:pPr>
      <w:ind w:left="720"/>
      <w:contextualSpacing/>
    </w:pPr>
  </w:style>
  <w:style w:type="paragraph" w:styleId="NormalWeb">
    <w:name w:val="Normal (Web)"/>
    <w:basedOn w:val="Normal"/>
    <w:uiPriority w:val="99"/>
    <w:unhideWhenUsed/>
    <w:rsid w:val="00AB327D"/>
    <w:pPr>
      <w:spacing w:before="100" w:beforeAutospacing="1" w:after="100" w:afterAutospacing="1"/>
    </w:pPr>
    <w:rPr>
      <w:rFonts w:ascii="Times New Roman" w:eastAsia="Times New Roman" w:hAnsi="Times New Roman" w:cs="Times New Roman"/>
      <w:kern w:val="0"/>
      <w:lang w:eastAsia="en-GB"/>
      <w14:ligatures w14:val="none"/>
    </w:rPr>
  </w:style>
  <w:style w:type="paragraph" w:styleId="FootnoteText">
    <w:name w:val="footnote text"/>
    <w:basedOn w:val="Normal"/>
    <w:link w:val="FootnoteTextChar"/>
    <w:uiPriority w:val="99"/>
    <w:semiHidden/>
    <w:unhideWhenUsed/>
    <w:rsid w:val="00E71C0E"/>
    <w:rPr>
      <w:kern w:val="0"/>
      <w:sz w:val="20"/>
      <w:szCs w:val="20"/>
      <w14:ligatures w14:val="none"/>
    </w:rPr>
  </w:style>
  <w:style w:type="character" w:customStyle="1" w:styleId="FootnoteTextChar">
    <w:name w:val="Footnote Text Char"/>
    <w:basedOn w:val="DefaultParagraphFont"/>
    <w:link w:val="FootnoteText"/>
    <w:uiPriority w:val="99"/>
    <w:semiHidden/>
    <w:rsid w:val="00E71C0E"/>
    <w:rPr>
      <w:kern w:val="0"/>
      <w:sz w:val="20"/>
      <w:szCs w:val="20"/>
      <w14:ligatures w14:val="none"/>
    </w:rPr>
  </w:style>
  <w:style w:type="character" w:styleId="FootnoteReference">
    <w:name w:val="footnote reference"/>
    <w:basedOn w:val="DefaultParagraphFont"/>
    <w:uiPriority w:val="99"/>
    <w:semiHidden/>
    <w:unhideWhenUsed/>
    <w:rsid w:val="00E71C0E"/>
    <w:rPr>
      <w:vertAlign w:val="superscript"/>
    </w:rPr>
  </w:style>
  <w:style w:type="table" w:styleId="TableGrid">
    <w:name w:val="Table Grid"/>
    <w:basedOn w:val="TableNormal"/>
    <w:uiPriority w:val="39"/>
    <w:rsid w:val="00410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A2C31"/>
    <w:pPr>
      <w:tabs>
        <w:tab w:val="center" w:pos="4513"/>
        <w:tab w:val="right" w:pos="9026"/>
      </w:tabs>
    </w:pPr>
  </w:style>
  <w:style w:type="character" w:customStyle="1" w:styleId="FooterChar">
    <w:name w:val="Footer Char"/>
    <w:basedOn w:val="DefaultParagraphFont"/>
    <w:link w:val="Footer"/>
    <w:uiPriority w:val="99"/>
    <w:rsid w:val="00CA2C31"/>
  </w:style>
  <w:style w:type="character" w:styleId="PageNumber">
    <w:name w:val="page number"/>
    <w:basedOn w:val="DefaultParagraphFont"/>
    <w:uiPriority w:val="99"/>
    <w:semiHidden/>
    <w:unhideWhenUsed/>
    <w:rsid w:val="00CA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087386">
      <w:bodyDiv w:val="1"/>
      <w:marLeft w:val="0"/>
      <w:marRight w:val="0"/>
      <w:marTop w:val="0"/>
      <w:marBottom w:val="0"/>
      <w:divBdr>
        <w:top w:val="none" w:sz="0" w:space="0" w:color="auto"/>
        <w:left w:val="none" w:sz="0" w:space="0" w:color="auto"/>
        <w:bottom w:val="none" w:sz="0" w:space="0" w:color="auto"/>
        <w:right w:val="none" w:sz="0" w:space="0" w:color="auto"/>
      </w:divBdr>
    </w:div>
    <w:div w:id="1918049576">
      <w:bodyDiv w:val="1"/>
      <w:marLeft w:val="0"/>
      <w:marRight w:val="0"/>
      <w:marTop w:val="0"/>
      <w:marBottom w:val="0"/>
      <w:divBdr>
        <w:top w:val="none" w:sz="0" w:space="0" w:color="auto"/>
        <w:left w:val="none" w:sz="0" w:space="0" w:color="auto"/>
        <w:bottom w:val="none" w:sz="0" w:space="0" w:color="auto"/>
        <w:right w:val="none" w:sz="0" w:space="0" w:color="auto"/>
      </w:divBdr>
    </w:div>
    <w:div w:id="192914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Sunnucks</dc:creator>
  <cp:keywords/>
  <dc:description/>
  <cp:lastModifiedBy>William Sunnucks</cp:lastModifiedBy>
  <cp:revision>5</cp:revision>
  <cp:lastPrinted>2023-04-17T16:29:00Z</cp:lastPrinted>
  <dcterms:created xsi:type="dcterms:W3CDTF">2023-06-08T20:10:00Z</dcterms:created>
  <dcterms:modified xsi:type="dcterms:W3CDTF">2023-06-24T16:04:00Z</dcterms:modified>
</cp:coreProperties>
</file>