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682CA" w14:textId="35179B2D" w:rsidR="00B051DD" w:rsidRDefault="003A2085">
      <w:r>
        <w:t>Appendix 1</w:t>
      </w:r>
    </w:p>
    <w:p w14:paraId="19CB845B" w14:textId="77777777" w:rsidR="003A2085" w:rsidRDefault="003A2085"/>
    <w:p w14:paraId="3A855D22" w14:textId="7F28EC3E" w:rsidR="003A2085" w:rsidRPr="00F92FE5" w:rsidRDefault="003A2085">
      <w:pPr>
        <w:rPr>
          <w:b/>
          <w:bCs/>
          <w:sz w:val="36"/>
          <w:szCs w:val="36"/>
        </w:rPr>
      </w:pPr>
      <w:r w:rsidRPr="00CD4B31">
        <w:rPr>
          <w:b/>
          <w:bCs/>
          <w:sz w:val="36"/>
          <w:szCs w:val="36"/>
        </w:rPr>
        <w:t>New Towns – the Track Record</w:t>
      </w:r>
    </w:p>
    <w:p w14:paraId="0AD335CF" w14:textId="5EB2CD3C" w:rsidR="00CD4B31" w:rsidRDefault="003A2085">
      <w:r>
        <w:t xml:space="preserve">The DPD shows little awareness of the </w:t>
      </w:r>
      <w:r w:rsidR="00DE465F">
        <w:t xml:space="preserve">practical </w:t>
      </w:r>
      <w:r>
        <w:t xml:space="preserve">difficulties </w:t>
      </w:r>
      <w:r w:rsidR="00DE465F">
        <w:t>of</w:t>
      </w:r>
      <w:r>
        <w:t xml:space="preserve"> deliver</w:t>
      </w:r>
      <w:r w:rsidR="00DE465F">
        <w:t xml:space="preserve">ing a 7500 dwelling new town – they </w:t>
      </w:r>
      <w:r w:rsidR="00CD4B31">
        <w:t>are</w:t>
      </w:r>
      <w:r w:rsidR="00DE465F">
        <w:t xml:space="preserve"> treated as problems for the developer</w:t>
      </w:r>
      <w:r>
        <w:t xml:space="preserve">.  </w:t>
      </w:r>
      <w:r w:rsidR="00D252F6">
        <w:t xml:space="preserve">We are expected to believe that </w:t>
      </w:r>
      <w:r w:rsidR="00CD4B31">
        <w:t>development at that scale is commonplace, but it isn’t.</w:t>
      </w:r>
    </w:p>
    <w:p w14:paraId="6EBBC59F" w14:textId="77777777" w:rsidR="00CD4B31" w:rsidRDefault="00CD4B31"/>
    <w:p w14:paraId="632F57A3" w14:textId="4306CFF8" w:rsidR="003A2085" w:rsidRDefault="00CD4B31">
      <w:r>
        <w:t>A</w:t>
      </w:r>
      <w:r w:rsidR="0050217C">
        <w:t>ny</w:t>
      </w:r>
      <w:r w:rsidR="003A2085">
        <w:t xml:space="preserve"> review of the </w:t>
      </w:r>
      <w:r w:rsidR="0050217C">
        <w:t xml:space="preserve">recent </w:t>
      </w:r>
      <w:r w:rsidR="003A2085">
        <w:t xml:space="preserve">history of new towns in the UK can only lead to the conclusion that TCBGC is unlikely to be </w:t>
      </w:r>
      <w:r w:rsidR="0050217C">
        <w:t>deliver anything like the promises of</w:t>
      </w:r>
      <w:r w:rsidR="003A2085">
        <w:t xml:space="preserve"> the DPD.</w:t>
      </w:r>
    </w:p>
    <w:p w14:paraId="132906C6" w14:textId="77777777" w:rsidR="003A2085" w:rsidRDefault="003A2085"/>
    <w:p w14:paraId="10D470C0" w14:textId="580E33B8" w:rsidR="003A2085" w:rsidRPr="00CD4B31" w:rsidRDefault="003A2085">
      <w:pPr>
        <w:rPr>
          <w:b/>
          <w:bCs/>
        </w:rPr>
      </w:pPr>
      <w:r w:rsidRPr="00CD4B31">
        <w:rPr>
          <w:b/>
          <w:bCs/>
        </w:rPr>
        <w:t>New Towns</w:t>
      </w:r>
    </w:p>
    <w:p w14:paraId="285FE792" w14:textId="03EAC1DD" w:rsidR="003A2085" w:rsidRDefault="003A2085">
      <w:r>
        <w:t xml:space="preserve">No new towns have been formally designated in England since 1970.  The post war new towns, which included Milton Keynes, were built in a very different planning and legal environment where land value capture was easier, and the grip of environmental regulation markedly weaker.  See </w:t>
      </w:r>
      <w:hyperlink r:id="rId6" w:history="1">
        <w:r w:rsidRPr="00742DFB">
          <w:rPr>
            <w:rStyle w:val="Hyperlink"/>
          </w:rPr>
          <w:t>https://en.wikipedia.org/wiki/New_towns_in_the_United_Kingdom</w:t>
        </w:r>
      </w:hyperlink>
      <w:r>
        <w:t xml:space="preserve"> </w:t>
      </w:r>
    </w:p>
    <w:p w14:paraId="78627186" w14:textId="77777777" w:rsidR="003A2085" w:rsidRDefault="003A2085"/>
    <w:p w14:paraId="612A9514" w14:textId="34A3D62E" w:rsidR="003A2085" w:rsidRDefault="003A2085">
      <w:r>
        <w:t>In 2007 the Government</w:t>
      </w:r>
      <w:r w:rsidR="0043051E">
        <w:t xml:space="preserve"> designated 10 new Eco Towns.  None of these was built, and the idea was quietly dropped.  Two morphed into garden communities (St. Austell and NW Bicester), but despite all the hype</w:t>
      </w:r>
      <w:r w:rsidR="00CD4B31">
        <w:t xml:space="preserve">, </w:t>
      </w:r>
      <w:r w:rsidR="0043051E">
        <w:t xml:space="preserve">Google maps reveals that scarcely anything has been built after 16 years. </w:t>
      </w:r>
      <w:r w:rsidR="00DE465F">
        <w:t xml:space="preserve"> It is easy to get carried away by the big talk from Councils, professional </w:t>
      </w:r>
      <w:proofErr w:type="gramStart"/>
      <w:r w:rsidR="00DE465F">
        <w:t>firms</w:t>
      </w:r>
      <w:proofErr w:type="gramEnd"/>
      <w:r w:rsidR="00DE465F">
        <w:t xml:space="preserve"> and estate agents all of whom have an incentive to portray success and prosperity.</w:t>
      </w:r>
      <w:r w:rsidR="00CD4B31">
        <w:t xml:space="preserve">  Google maps tells the truth.</w:t>
      </w:r>
    </w:p>
    <w:p w14:paraId="158560E6" w14:textId="77777777" w:rsidR="00DE465F" w:rsidRDefault="00DE465F"/>
    <w:p w14:paraId="78F18629" w14:textId="78DB4F76" w:rsidR="00DE465F" w:rsidRDefault="00DE465F">
      <w:r>
        <w:t xml:space="preserve">The more recent wave of garden communities has yet to reach </w:t>
      </w:r>
      <w:proofErr w:type="gramStart"/>
      <w:r>
        <w:t>scale, and</w:t>
      </w:r>
      <w:proofErr w:type="gramEnd"/>
      <w:r>
        <w:t xml:space="preserve"> seems likely to encounter many of the same problems.  </w:t>
      </w:r>
    </w:p>
    <w:p w14:paraId="5B8E5BC5" w14:textId="77777777" w:rsidR="00DE465F" w:rsidRDefault="00DE465F"/>
    <w:p w14:paraId="284F7243" w14:textId="02D44470" w:rsidR="00DE465F" w:rsidRPr="00CD4B31" w:rsidRDefault="0050217C">
      <w:pPr>
        <w:rPr>
          <w:b/>
          <w:bCs/>
        </w:rPr>
      </w:pPr>
      <w:r>
        <w:rPr>
          <w:b/>
          <w:bCs/>
        </w:rPr>
        <w:t>Social housing</w:t>
      </w:r>
    </w:p>
    <w:p w14:paraId="7E80CD6F" w14:textId="60A15A16" w:rsidR="00DE465F" w:rsidRDefault="00DE465F" w:rsidP="00DE465F">
      <w:pPr>
        <w:rPr>
          <w:rFonts w:ascii="Calibri" w:eastAsia="Times New Roman" w:hAnsi="Calibri" w:cs="Calibri"/>
          <w:color w:val="000000"/>
          <w:kern w:val="0"/>
          <w:lang w:eastAsia="en-GB"/>
          <w14:ligatures w14:val="none"/>
        </w:rPr>
      </w:pPr>
      <w:r>
        <w:t xml:space="preserve">One common feature of these new towns is the low level of social housing.  For example the early plans for St. Austell promised 40% but </w:t>
      </w:r>
      <w:r w:rsidR="0050217C">
        <w:t>is delivering</w:t>
      </w:r>
      <w:r>
        <w:t xml:space="preserve"> only 20% </w:t>
      </w:r>
      <w:hyperlink r:id="rId7" w:history="1">
        <w:r w:rsidRPr="00742DFB">
          <w:rPr>
            <w:rStyle w:val="Hyperlink"/>
            <w:rFonts w:ascii="Calibri" w:eastAsia="Times New Roman" w:hAnsi="Calibri" w:cs="Calibri"/>
            <w:kern w:val="0"/>
            <w:lang w:eastAsia="en-GB"/>
            <w14:ligatures w14:val="none"/>
          </w:rPr>
          <w:t>https://planetradio.co.uk/pirate-fm/local/news/west-carclaze-garden-village-concerns/</w:t>
        </w:r>
      </w:hyperlink>
      <w:r>
        <w:rPr>
          <w:rFonts w:ascii="Calibri" w:eastAsia="Times New Roman" w:hAnsi="Calibri" w:cs="Calibri"/>
          <w:color w:val="000000"/>
          <w:kern w:val="0"/>
          <w:lang w:eastAsia="en-GB"/>
          <w14:ligatures w14:val="none"/>
        </w:rPr>
        <w:t xml:space="preserve"> </w:t>
      </w:r>
    </w:p>
    <w:p w14:paraId="5D10A9F5" w14:textId="17B583F2" w:rsidR="00DE465F" w:rsidRDefault="00DE465F" w:rsidP="00DE465F">
      <w:pPr>
        <w:rPr>
          <w:rFonts w:ascii="Calibri" w:eastAsia="Times New Roman" w:hAnsi="Calibri" w:cs="Calibri"/>
          <w:color w:val="000000"/>
          <w:kern w:val="0"/>
          <w:lang w:eastAsia="en-GB"/>
          <w14:ligatures w14:val="none"/>
        </w:rPr>
      </w:pPr>
    </w:p>
    <w:p w14:paraId="2106133F" w14:textId="65EE64E1" w:rsidR="00DE465F" w:rsidRDefault="00DE465F" w:rsidP="00DE465F">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Appendix 4 provides further examples of low</w:t>
      </w:r>
      <w:r w:rsidR="00CD4B31">
        <w:rPr>
          <w:rFonts w:ascii="Calibri" w:eastAsia="Times New Roman" w:hAnsi="Calibri" w:cs="Calibri"/>
          <w:color w:val="000000"/>
          <w:kern w:val="0"/>
          <w:lang w:eastAsia="en-GB"/>
          <w14:ligatures w14:val="none"/>
        </w:rPr>
        <w:t xml:space="preserve"> social housing shares due to viability concerns.  Alconbury has 12.5%, and </w:t>
      </w:r>
      <w:proofErr w:type="spellStart"/>
      <w:r w:rsidR="00CD4B31">
        <w:rPr>
          <w:rFonts w:ascii="Calibri" w:eastAsia="Times New Roman" w:hAnsi="Calibri" w:cs="Calibri"/>
          <w:color w:val="000000"/>
          <w:kern w:val="0"/>
          <w:lang w:eastAsia="en-GB"/>
          <w14:ligatures w14:val="none"/>
        </w:rPr>
        <w:t>Welborne</w:t>
      </w:r>
      <w:proofErr w:type="spellEnd"/>
      <w:r w:rsidR="00CD4B31">
        <w:rPr>
          <w:rFonts w:ascii="Calibri" w:eastAsia="Times New Roman" w:hAnsi="Calibri" w:cs="Calibri"/>
          <w:color w:val="000000"/>
          <w:kern w:val="0"/>
          <w:lang w:eastAsia="en-GB"/>
          <w14:ligatures w14:val="none"/>
        </w:rPr>
        <w:t xml:space="preserve"> just 10% in the first phase.</w:t>
      </w:r>
    </w:p>
    <w:p w14:paraId="23E72288" w14:textId="77777777" w:rsidR="00CD4B31" w:rsidRDefault="00CD4B31" w:rsidP="00DE465F">
      <w:pPr>
        <w:rPr>
          <w:rFonts w:ascii="Calibri" w:eastAsia="Times New Roman" w:hAnsi="Calibri" w:cs="Calibri"/>
          <w:color w:val="000000"/>
          <w:kern w:val="0"/>
          <w:lang w:eastAsia="en-GB"/>
          <w14:ligatures w14:val="none"/>
        </w:rPr>
      </w:pPr>
    </w:p>
    <w:p w14:paraId="14AA0427" w14:textId="07DF0A2F" w:rsidR="00CD4B31" w:rsidRDefault="00CD4B31" w:rsidP="00DE465F">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This is important because it </w:t>
      </w:r>
      <w:r w:rsidR="004E2E17">
        <w:rPr>
          <w:rFonts w:ascii="Calibri" w:eastAsia="Times New Roman" w:hAnsi="Calibri" w:cs="Calibri"/>
          <w:color w:val="000000"/>
          <w:kern w:val="0"/>
          <w:lang w:eastAsia="en-GB"/>
          <w14:ligatures w14:val="none"/>
        </w:rPr>
        <w:t>illustrates</w:t>
      </w:r>
      <w:r>
        <w:rPr>
          <w:rFonts w:ascii="Calibri" w:eastAsia="Times New Roman" w:hAnsi="Calibri" w:cs="Calibri"/>
          <w:color w:val="000000"/>
          <w:kern w:val="0"/>
          <w:lang w:eastAsia="en-GB"/>
          <w14:ligatures w14:val="none"/>
        </w:rPr>
        <w:t xml:space="preserve"> how, once the DPD is </w:t>
      </w:r>
      <w:r w:rsidR="0050217C">
        <w:rPr>
          <w:rFonts w:ascii="Calibri" w:eastAsia="Times New Roman" w:hAnsi="Calibri" w:cs="Calibri"/>
          <w:color w:val="000000"/>
          <w:kern w:val="0"/>
          <w:lang w:eastAsia="en-GB"/>
          <w14:ligatures w14:val="none"/>
        </w:rPr>
        <w:t>adopted</w:t>
      </w:r>
      <w:r>
        <w:rPr>
          <w:rFonts w:ascii="Calibri" w:eastAsia="Times New Roman" w:hAnsi="Calibri" w:cs="Calibri"/>
          <w:color w:val="000000"/>
          <w:kern w:val="0"/>
          <w:lang w:eastAsia="en-GB"/>
          <w14:ligatures w14:val="none"/>
        </w:rPr>
        <w:t>, the Councils will be in the hands of the developer and will be forced to make compromises.</w:t>
      </w:r>
    </w:p>
    <w:p w14:paraId="1FD46BE7" w14:textId="77777777" w:rsidR="00CD4B31" w:rsidRDefault="00CD4B31" w:rsidP="00DE465F">
      <w:pPr>
        <w:rPr>
          <w:rFonts w:ascii="Calibri" w:eastAsia="Times New Roman" w:hAnsi="Calibri" w:cs="Calibri"/>
          <w:color w:val="000000"/>
          <w:kern w:val="0"/>
          <w:lang w:eastAsia="en-GB"/>
          <w14:ligatures w14:val="none"/>
        </w:rPr>
      </w:pPr>
    </w:p>
    <w:p w14:paraId="278C5F31" w14:textId="0DB73A30" w:rsidR="00CD4B31" w:rsidRPr="00CD4B31" w:rsidRDefault="00CD4B31" w:rsidP="00DE465F">
      <w:pPr>
        <w:rPr>
          <w:rFonts w:ascii="Calibri" w:eastAsia="Times New Roman" w:hAnsi="Calibri" w:cs="Calibri"/>
          <w:b/>
          <w:bCs/>
          <w:color w:val="000000"/>
          <w:kern w:val="0"/>
          <w:lang w:eastAsia="en-GB"/>
          <w14:ligatures w14:val="none"/>
        </w:rPr>
      </w:pPr>
      <w:r w:rsidRPr="00CD4B31">
        <w:rPr>
          <w:rFonts w:ascii="Calibri" w:eastAsia="Times New Roman" w:hAnsi="Calibri" w:cs="Calibri"/>
          <w:b/>
          <w:bCs/>
          <w:color w:val="000000"/>
          <w:kern w:val="0"/>
          <w:lang w:eastAsia="en-GB"/>
          <w14:ligatures w14:val="none"/>
        </w:rPr>
        <w:t>Credibility for TCBGC</w:t>
      </w:r>
    </w:p>
    <w:p w14:paraId="38A50183" w14:textId="121E9841" w:rsidR="00CD4B31" w:rsidRDefault="00CD4B31" w:rsidP="00DE465F">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If TCBGC is to </w:t>
      </w:r>
      <w:r w:rsidR="0050217C">
        <w:rPr>
          <w:rFonts w:ascii="Calibri" w:eastAsia="Times New Roman" w:hAnsi="Calibri" w:cs="Calibri"/>
          <w:color w:val="000000"/>
          <w:kern w:val="0"/>
          <w:lang w:eastAsia="en-GB"/>
          <w14:ligatures w14:val="none"/>
        </w:rPr>
        <w:t>gain</w:t>
      </w:r>
      <w:r>
        <w:rPr>
          <w:rFonts w:ascii="Calibri" w:eastAsia="Times New Roman" w:hAnsi="Calibri" w:cs="Calibri"/>
          <w:color w:val="000000"/>
          <w:kern w:val="0"/>
          <w:lang w:eastAsia="en-GB"/>
          <w14:ligatures w14:val="none"/>
        </w:rPr>
        <w:t xml:space="preserve"> public confidence it needs to </w:t>
      </w:r>
      <w:r w:rsidR="0050217C">
        <w:rPr>
          <w:rFonts w:ascii="Calibri" w:eastAsia="Times New Roman" w:hAnsi="Calibri" w:cs="Calibri"/>
          <w:color w:val="000000"/>
          <w:kern w:val="0"/>
          <w:lang w:eastAsia="en-GB"/>
          <w14:ligatures w14:val="none"/>
        </w:rPr>
        <w:t>demonstrate how it will succeed where others have failed</w:t>
      </w:r>
      <w:r>
        <w:rPr>
          <w:rFonts w:ascii="Calibri" w:eastAsia="Times New Roman" w:hAnsi="Calibri" w:cs="Calibri"/>
          <w:color w:val="000000"/>
          <w:kern w:val="0"/>
          <w:lang w:eastAsia="en-GB"/>
          <w14:ligatures w14:val="none"/>
        </w:rPr>
        <w:t>.</w:t>
      </w:r>
      <w:r w:rsidR="00336C94">
        <w:rPr>
          <w:rFonts w:ascii="Calibri" w:eastAsia="Times New Roman" w:hAnsi="Calibri" w:cs="Calibri"/>
          <w:color w:val="000000"/>
          <w:kern w:val="0"/>
          <w:lang w:eastAsia="en-GB"/>
          <w14:ligatures w14:val="none"/>
        </w:rPr>
        <w:t xml:space="preserve">  </w:t>
      </w:r>
      <w:r w:rsidR="0050217C">
        <w:rPr>
          <w:rFonts w:ascii="Calibri" w:eastAsia="Times New Roman" w:hAnsi="Calibri" w:cs="Calibri"/>
          <w:color w:val="000000"/>
          <w:kern w:val="0"/>
          <w:lang w:eastAsia="en-GB"/>
          <w14:ligatures w14:val="none"/>
        </w:rPr>
        <w:t>It can’t rest on precedent because there are few if any that have delivered anything like the promises in our DPD – 30% social housing, significant external transport infrastructure, expensive green and blue infrastructure within the settlement, no government support beyond the HIF grant.</w:t>
      </w:r>
    </w:p>
    <w:p w14:paraId="76F06393" w14:textId="77777777" w:rsidR="00F92FE5" w:rsidRDefault="00F92FE5" w:rsidP="00DE465F">
      <w:pPr>
        <w:rPr>
          <w:rFonts w:ascii="Calibri" w:eastAsia="Times New Roman" w:hAnsi="Calibri" w:cs="Calibri"/>
          <w:color w:val="000000"/>
          <w:kern w:val="0"/>
          <w:lang w:eastAsia="en-GB"/>
          <w14:ligatures w14:val="none"/>
        </w:rPr>
      </w:pPr>
    </w:p>
    <w:p w14:paraId="12B13498" w14:textId="067FFBED" w:rsidR="00D252F6" w:rsidRDefault="00F92FE5" w:rsidP="00DE465F">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William Sunnucks MA ACA MBA</w:t>
      </w:r>
    </w:p>
    <w:p w14:paraId="67964175" w14:textId="77777777" w:rsidR="00F92FE5" w:rsidRDefault="00F92FE5" w:rsidP="00F92FE5">
      <w:r>
        <w:t>Colchester City Councillor</w:t>
      </w:r>
    </w:p>
    <w:p w14:paraId="1FC870A6" w14:textId="775EAF82" w:rsidR="00F92FE5" w:rsidRPr="00DE465F" w:rsidRDefault="00F92FE5" w:rsidP="00DE465F">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24 June 2023</w:t>
      </w:r>
    </w:p>
    <w:p w14:paraId="5F5A353A" w14:textId="77777777" w:rsidR="0043051E" w:rsidRDefault="0043051E"/>
    <w:p w14:paraId="70134FB8" w14:textId="77777777" w:rsidR="0043051E" w:rsidRDefault="0043051E"/>
    <w:tbl>
      <w:tblPr>
        <w:tblStyle w:val="TableGrid"/>
        <w:tblW w:w="0" w:type="auto"/>
        <w:tblLook w:val="04A0" w:firstRow="1" w:lastRow="0" w:firstColumn="1" w:lastColumn="0" w:noHBand="0" w:noVBand="1"/>
      </w:tblPr>
      <w:tblGrid>
        <w:gridCol w:w="4614"/>
        <w:gridCol w:w="4396"/>
      </w:tblGrid>
      <w:tr w:rsidR="0043051E" w14:paraId="2BC1275F" w14:textId="77777777" w:rsidTr="0043051E">
        <w:trPr>
          <w:trHeight w:val="138"/>
        </w:trPr>
        <w:tc>
          <w:tcPr>
            <w:tcW w:w="4476" w:type="dxa"/>
          </w:tcPr>
          <w:p w14:paraId="6DA997EE" w14:textId="2CE334B0" w:rsidR="0043051E" w:rsidRDefault="0043051E">
            <w:r>
              <w:t>The vision – NW Bicester</w:t>
            </w:r>
          </w:p>
        </w:tc>
        <w:tc>
          <w:tcPr>
            <w:tcW w:w="4395" w:type="dxa"/>
          </w:tcPr>
          <w:p w14:paraId="1E367F5F" w14:textId="13E18F9E" w:rsidR="0043051E" w:rsidRDefault="0043051E">
            <w:r>
              <w:t>The reality after 16 years</w:t>
            </w:r>
          </w:p>
        </w:tc>
      </w:tr>
      <w:tr w:rsidR="0043051E" w14:paraId="0B6479B3" w14:textId="77777777" w:rsidTr="0043051E">
        <w:trPr>
          <w:trHeight w:val="2984"/>
        </w:trPr>
        <w:tc>
          <w:tcPr>
            <w:tcW w:w="4476" w:type="dxa"/>
          </w:tcPr>
          <w:p w14:paraId="41408575" w14:textId="77777777" w:rsidR="0043051E" w:rsidRDefault="0043051E">
            <w:r>
              <w:rPr>
                <w:noProof/>
              </w:rPr>
              <w:drawing>
                <wp:inline distT="0" distB="0" distL="0" distR="0" wp14:anchorId="0C8595FB" wp14:editId="1093A7A6">
                  <wp:extent cx="2701319" cy="1728904"/>
                  <wp:effectExtent l="0" t="0" r="3810" b="0"/>
                  <wp:docPr id="808782631" name="Picture 1" descr="A picture containing map, text,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82631" name="Picture 1" descr="A picture containing map, text, diagram, atla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1018" cy="1767113"/>
                          </a:xfrm>
                          <a:prstGeom prst="rect">
                            <a:avLst/>
                          </a:prstGeom>
                        </pic:spPr>
                      </pic:pic>
                    </a:graphicData>
                  </a:graphic>
                </wp:inline>
              </w:drawing>
            </w:r>
          </w:p>
          <w:p w14:paraId="2C102268" w14:textId="2FE0F765" w:rsidR="0043051E" w:rsidRDefault="0043051E"/>
        </w:tc>
        <w:tc>
          <w:tcPr>
            <w:tcW w:w="4395" w:type="dxa"/>
          </w:tcPr>
          <w:p w14:paraId="0204C0C8" w14:textId="70780832" w:rsidR="0043051E" w:rsidRDefault="0043051E">
            <w:r>
              <w:rPr>
                <w:noProof/>
              </w:rPr>
              <w:drawing>
                <wp:inline distT="0" distB="0" distL="0" distR="0" wp14:anchorId="47DF5A3A" wp14:editId="266C91BA">
                  <wp:extent cx="2668249" cy="2602772"/>
                  <wp:effectExtent l="0" t="0" r="0" b="1270"/>
                  <wp:docPr id="274167078" name="Picture 2" descr="A picture containing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67078" name="Picture 2" descr="A picture containing map&#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9493" cy="2779568"/>
                          </a:xfrm>
                          <a:prstGeom prst="rect">
                            <a:avLst/>
                          </a:prstGeom>
                        </pic:spPr>
                      </pic:pic>
                    </a:graphicData>
                  </a:graphic>
                </wp:inline>
              </w:drawing>
            </w:r>
          </w:p>
        </w:tc>
      </w:tr>
      <w:tr w:rsidR="0043051E" w14:paraId="72CBA6EF" w14:textId="77777777" w:rsidTr="0043051E">
        <w:trPr>
          <w:trHeight w:val="329"/>
        </w:trPr>
        <w:tc>
          <w:tcPr>
            <w:tcW w:w="4476" w:type="dxa"/>
          </w:tcPr>
          <w:p w14:paraId="13F181DB" w14:textId="6FA8C09A" w:rsidR="0043051E" w:rsidRDefault="0043051E">
            <w:pPr>
              <w:rPr>
                <w:noProof/>
              </w:rPr>
            </w:pPr>
            <w:r>
              <w:rPr>
                <w:noProof/>
              </w:rPr>
              <w:t>St. Austell - Cornwall</w:t>
            </w:r>
          </w:p>
        </w:tc>
        <w:tc>
          <w:tcPr>
            <w:tcW w:w="4395" w:type="dxa"/>
          </w:tcPr>
          <w:p w14:paraId="330F736B" w14:textId="506DA9B1" w:rsidR="0043051E" w:rsidRDefault="0043051E">
            <w:pPr>
              <w:rPr>
                <w:noProof/>
              </w:rPr>
            </w:pPr>
            <w:r>
              <w:rPr>
                <w:noProof/>
              </w:rPr>
              <w:t>The reality after 16 years</w:t>
            </w:r>
          </w:p>
        </w:tc>
      </w:tr>
      <w:tr w:rsidR="0043051E" w14:paraId="234B2591" w14:textId="77777777" w:rsidTr="0043051E">
        <w:trPr>
          <w:trHeight w:val="2984"/>
        </w:trPr>
        <w:tc>
          <w:tcPr>
            <w:tcW w:w="4476" w:type="dxa"/>
          </w:tcPr>
          <w:p w14:paraId="2E4BBE4F" w14:textId="330C499D" w:rsidR="0043051E" w:rsidRDefault="0043051E">
            <w:pPr>
              <w:rPr>
                <w:noProof/>
              </w:rPr>
            </w:pPr>
            <w:r>
              <w:rPr>
                <w:noProof/>
              </w:rPr>
              <w:drawing>
                <wp:inline distT="0" distB="0" distL="0" distR="0" wp14:anchorId="7970DB28" wp14:editId="1BC9F3DC">
                  <wp:extent cx="2806021" cy="1682124"/>
                  <wp:effectExtent l="0" t="0" r="1270" b="0"/>
                  <wp:docPr id="835822844" name="Picture 3" descr="A picture containing tree, grass, aerial photograph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22844" name="Picture 3" descr="A picture containing tree, grass, aerial photography,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546" cy="1707017"/>
                          </a:xfrm>
                          <a:prstGeom prst="rect">
                            <a:avLst/>
                          </a:prstGeom>
                        </pic:spPr>
                      </pic:pic>
                    </a:graphicData>
                  </a:graphic>
                </wp:inline>
              </w:drawing>
            </w:r>
          </w:p>
        </w:tc>
        <w:tc>
          <w:tcPr>
            <w:tcW w:w="4395" w:type="dxa"/>
          </w:tcPr>
          <w:p w14:paraId="2AD0B20B" w14:textId="10DEBAF4" w:rsidR="0043051E" w:rsidRDefault="0043051E">
            <w:pPr>
              <w:rPr>
                <w:noProof/>
              </w:rPr>
            </w:pPr>
            <w:r>
              <w:rPr>
                <w:noProof/>
              </w:rPr>
              <w:drawing>
                <wp:inline distT="0" distB="0" distL="0" distR="0" wp14:anchorId="4BB6E507" wp14:editId="4E6A5CBE">
                  <wp:extent cx="2623279" cy="2141450"/>
                  <wp:effectExtent l="0" t="0" r="5715" b="5080"/>
                  <wp:docPr id="153309940" name="Picture 4"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9940" name="Picture 4" descr="A picture containing map,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103" cy="2215592"/>
                          </a:xfrm>
                          <a:prstGeom prst="rect">
                            <a:avLst/>
                          </a:prstGeom>
                        </pic:spPr>
                      </pic:pic>
                    </a:graphicData>
                  </a:graphic>
                </wp:inline>
              </w:drawing>
            </w:r>
          </w:p>
        </w:tc>
      </w:tr>
    </w:tbl>
    <w:p w14:paraId="2B99600B" w14:textId="77777777" w:rsidR="0043051E" w:rsidRDefault="0043051E"/>
    <w:p w14:paraId="1CCEAC1C" w14:textId="77777777" w:rsidR="004E2E17" w:rsidRDefault="004E2E17"/>
    <w:p w14:paraId="51C3B1E3" w14:textId="77777777" w:rsidR="004E2E17" w:rsidRDefault="004E2E17">
      <w:r>
        <w:br w:type="page"/>
      </w:r>
    </w:p>
    <w:p w14:paraId="7D566322" w14:textId="4A69A3F4" w:rsidR="004E2E17" w:rsidRDefault="004E2E17">
      <w:r>
        <w:lastRenderedPageBreak/>
        <w:t>List of Eco Towns and comments on progress from the Architects Journal in 2009</w:t>
      </w:r>
    </w:p>
    <w:p w14:paraId="2EA7BB81" w14:textId="10F7241A" w:rsidR="004E2E17" w:rsidRDefault="004E2E17">
      <w:r>
        <w:rPr>
          <w:noProof/>
        </w:rPr>
        <w:drawing>
          <wp:inline distT="0" distB="0" distL="0" distR="0" wp14:anchorId="7430C69E" wp14:editId="14EB68D4">
            <wp:extent cx="5727700" cy="5076825"/>
            <wp:effectExtent l="0" t="0" r="0" b="3175"/>
            <wp:docPr id="80084341" name="Picture 3" descr="A picture containing text, screenshot, receip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4341" name="Picture 3" descr="A picture containing text, screenshot, receipt, menu&#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5076825"/>
                    </a:xfrm>
                    <a:prstGeom prst="rect">
                      <a:avLst/>
                    </a:prstGeom>
                  </pic:spPr>
                </pic:pic>
              </a:graphicData>
            </a:graphic>
          </wp:inline>
        </w:drawing>
      </w:r>
    </w:p>
    <w:p w14:paraId="671DF7A3" w14:textId="77777777" w:rsidR="004E2E17" w:rsidRDefault="004E2E17"/>
    <w:p w14:paraId="3707628A" w14:textId="315C15C2" w:rsidR="004E2E17" w:rsidRDefault="004E2E17">
      <w:r>
        <w:br w:type="page"/>
      </w:r>
    </w:p>
    <w:p w14:paraId="34BB9436" w14:textId="77777777" w:rsidR="004E2E17" w:rsidRDefault="004E2E17"/>
    <w:p w14:paraId="5597E910" w14:textId="68DB2958" w:rsidR="004E2E17" w:rsidRDefault="004E2E17">
      <w:r>
        <w:t>List of Garden Towns and Villages being funded by DLUHC in May 2022</w:t>
      </w:r>
    </w:p>
    <w:p w14:paraId="33A90B40" w14:textId="77777777" w:rsidR="004E2E17" w:rsidRDefault="004E2E17"/>
    <w:p w14:paraId="29F48BBC" w14:textId="5136856A" w:rsidR="004E2E17" w:rsidRDefault="004E2E17">
      <w:r>
        <w:rPr>
          <w:noProof/>
        </w:rPr>
        <w:drawing>
          <wp:inline distT="0" distB="0" distL="0" distR="0" wp14:anchorId="03843C6D" wp14:editId="6C3BFE1F">
            <wp:extent cx="4127500" cy="7124700"/>
            <wp:effectExtent l="0" t="0" r="0" b="0"/>
            <wp:docPr id="1933967506" name="Picture 2"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67506" name="Picture 2" descr="A screenshot of a spreadshee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127500" cy="7124700"/>
                    </a:xfrm>
                    <a:prstGeom prst="rect">
                      <a:avLst/>
                    </a:prstGeom>
                  </pic:spPr>
                </pic:pic>
              </a:graphicData>
            </a:graphic>
          </wp:inline>
        </w:drawing>
      </w:r>
    </w:p>
    <w:sectPr w:rsidR="004E2E17" w:rsidSect="00B4298F">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EE6CF" w14:textId="77777777" w:rsidR="00527CC9" w:rsidRDefault="00527CC9" w:rsidP="008F406A">
      <w:r>
        <w:separator/>
      </w:r>
    </w:p>
  </w:endnote>
  <w:endnote w:type="continuationSeparator" w:id="0">
    <w:p w14:paraId="40B3F38F" w14:textId="77777777" w:rsidR="00527CC9" w:rsidRDefault="00527CC9" w:rsidP="008F4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715770"/>
      <w:docPartObj>
        <w:docPartGallery w:val="Page Numbers (Bottom of Page)"/>
        <w:docPartUnique/>
      </w:docPartObj>
    </w:sdtPr>
    <w:sdtContent>
      <w:p w14:paraId="2B17628A" w14:textId="23434B9E" w:rsidR="008F406A" w:rsidRDefault="008F406A" w:rsidP="00C01A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9E4059" w14:textId="77777777" w:rsidR="008F406A" w:rsidRDefault="008F406A" w:rsidP="008F40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7172823"/>
      <w:docPartObj>
        <w:docPartGallery w:val="Page Numbers (Bottom of Page)"/>
        <w:docPartUnique/>
      </w:docPartObj>
    </w:sdtPr>
    <w:sdtContent>
      <w:p w14:paraId="7D37746D" w14:textId="02CEF28C" w:rsidR="008F406A" w:rsidRDefault="008F406A" w:rsidP="00C01A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FE5CB6" w14:textId="77777777" w:rsidR="008F406A" w:rsidRDefault="008F406A" w:rsidP="008F40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E2A2C" w14:textId="77777777" w:rsidR="00527CC9" w:rsidRDefault="00527CC9" w:rsidP="008F406A">
      <w:r>
        <w:separator/>
      </w:r>
    </w:p>
  </w:footnote>
  <w:footnote w:type="continuationSeparator" w:id="0">
    <w:p w14:paraId="2EAC3638" w14:textId="77777777" w:rsidR="00527CC9" w:rsidRDefault="00527CC9" w:rsidP="008F40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085"/>
    <w:rsid w:val="00212F55"/>
    <w:rsid w:val="00336C94"/>
    <w:rsid w:val="003966C4"/>
    <w:rsid w:val="003A2085"/>
    <w:rsid w:val="003E4B49"/>
    <w:rsid w:val="0043051E"/>
    <w:rsid w:val="00460ACE"/>
    <w:rsid w:val="00497071"/>
    <w:rsid w:val="004E2E17"/>
    <w:rsid w:val="0050217C"/>
    <w:rsid w:val="00527CC9"/>
    <w:rsid w:val="007411E4"/>
    <w:rsid w:val="008F406A"/>
    <w:rsid w:val="00914CAA"/>
    <w:rsid w:val="00B4298F"/>
    <w:rsid w:val="00CD4B31"/>
    <w:rsid w:val="00D252F6"/>
    <w:rsid w:val="00D47D00"/>
    <w:rsid w:val="00DE465F"/>
    <w:rsid w:val="00F04225"/>
    <w:rsid w:val="00F92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B7018F4"/>
  <w15:chartTrackingRefBased/>
  <w15:docId w15:val="{5BD95904-E769-B343-A0C8-E3B73ACE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2085"/>
    <w:rPr>
      <w:color w:val="0563C1" w:themeColor="hyperlink"/>
      <w:u w:val="single"/>
    </w:rPr>
  </w:style>
  <w:style w:type="character" w:styleId="UnresolvedMention">
    <w:name w:val="Unresolved Mention"/>
    <w:basedOn w:val="DefaultParagraphFont"/>
    <w:uiPriority w:val="99"/>
    <w:semiHidden/>
    <w:unhideWhenUsed/>
    <w:rsid w:val="003A2085"/>
    <w:rPr>
      <w:color w:val="605E5C"/>
      <w:shd w:val="clear" w:color="auto" w:fill="E1DFDD"/>
    </w:rPr>
  </w:style>
  <w:style w:type="table" w:styleId="TableGrid">
    <w:name w:val="Table Grid"/>
    <w:basedOn w:val="TableNormal"/>
    <w:uiPriority w:val="39"/>
    <w:rsid w:val="00430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465F"/>
    <w:rPr>
      <w:color w:val="954F72" w:themeColor="followedHyperlink"/>
      <w:u w:val="single"/>
    </w:rPr>
  </w:style>
  <w:style w:type="paragraph" w:styleId="Footer">
    <w:name w:val="footer"/>
    <w:basedOn w:val="Normal"/>
    <w:link w:val="FooterChar"/>
    <w:uiPriority w:val="99"/>
    <w:unhideWhenUsed/>
    <w:rsid w:val="008F406A"/>
    <w:pPr>
      <w:tabs>
        <w:tab w:val="center" w:pos="4513"/>
        <w:tab w:val="right" w:pos="9026"/>
      </w:tabs>
    </w:pPr>
  </w:style>
  <w:style w:type="character" w:customStyle="1" w:styleId="FooterChar">
    <w:name w:val="Footer Char"/>
    <w:basedOn w:val="DefaultParagraphFont"/>
    <w:link w:val="Footer"/>
    <w:uiPriority w:val="99"/>
    <w:rsid w:val="008F406A"/>
  </w:style>
  <w:style w:type="character" w:styleId="PageNumber">
    <w:name w:val="page number"/>
    <w:basedOn w:val="DefaultParagraphFont"/>
    <w:uiPriority w:val="99"/>
    <w:semiHidden/>
    <w:unhideWhenUsed/>
    <w:rsid w:val="008F4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00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planetradio.co.uk/pirate-fm/local/news/west-carclaze-garden-village-concerns/"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en.wikipedia.org/wiki/New_towns_in_the_United_Kingdo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4</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Sunnucks</dc:creator>
  <cp:keywords/>
  <dc:description/>
  <cp:lastModifiedBy>William Sunnucks</cp:lastModifiedBy>
  <cp:revision>7</cp:revision>
  <dcterms:created xsi:type="dcterms:W3CDTF">2023-06-21T07:27:00Z</dcterms:created>
  <dcterms:modified xsi:type="dcterms:W3CDTF">2023-06-25T07:00:00Z</dcterms:modified>
</cp:coreProperties>
</file>